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200" w:line="276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MODELO DE PROCESSO — PREGÃO ELETRÔNICO</w:t>
      </w:r>
    </w:p>
    <w:p>
      <w:pPr>
        <w:spacing w:after="200" w:before="80" w:line="276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Lei 14.133/2021 · Bens e Serviços Comuns · Portal de Compras MS · Dec. 16.118/2023</w:t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QUANDO USAR O PREGÃO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Para BENS e SERVIÇOS COMUNS — cujos padrões de desempenho e qualidade possam ser objetivamente definidos por especificações usuais de mercado.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Critério de julgamento: MENOR PREÇO ou MAIOR DESCONTO como regra geral.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Modalidade obrigatória quando o valor supera o limite da dispensa (R$ 62.725,59) para bens e serviços comuns.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Arial" w:cs="Arial" w:eastAsia="Arial" w:hAnsi="Arial"/>
          <w:sz w:val="22"/>
          <w:szCs w:val="22"/>
        </w:rPr>
        <w:t xml:space="preserve">Pode ser usado com ou sem Sistema de Registro de Preços (SRP — Dec. 16.122/23).</w:t>
      </w:r>
    </w:p>
    <w:p>
      <w:pPr>
        <w:spacing w:after="80" w:before="1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DOCUMENTOS OBRIGATÓRIOS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Formalização de Demanda — DFD (modelo CPLAN/SEJUSP)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 de Oficialização (Anexo I — Dec. 15.941/22 c/ Dec. 16.378/24)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Comprovação de previsão no PCA (print de tela — Dec. 16.121/23)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Estudo Técnico Preliminar — ETP (Anexo II — Dec. 15.941/22)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da SEGOV via SIGA-TR (Dec. 16.138/23) — OBRIGATÓRIO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Referência no SIGA-TR com todos os elementos do art. 6º, XXIII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de preços — Dec. 15.940/22 (mín. 3 fontes)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Minuta do Edital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Minuta do Contrato (quando exigível)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Riscos do Metaprocesso (Res. CGE/MS 102/24 — desde nov/2024)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Dotação orçamentária — Art. 72, VI, Lei 14.133/2021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do Edital no PNCP (prazo mín. 8 dias úteis — Art. 55, Lei 14.133/21)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no Portal de Compras MS (Dec. 16.160/23)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 de Sessão Pública (fase externa)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 de Registro de Preços (quando SRP) ou Contrato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PRAZOS LEGAIS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Edital → Recebimento de propostas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8 dias úteis (Art. 55, Lei 14.133/21)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Impugnação ao Edital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3 dias úteis antes da sessão (Art. 55, §1º)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Pedido de esclarecimento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3 dias úteis antes da sessão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Intenção de recurso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dias úteis após a sessão (motivada)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Razões de recurso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dias úteis após a intenção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Contrarrazões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dias úteis após as razões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Publicação do contrato no PNCP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20 dias do aceite (Art. 174, Lei 14.133/21)</w:t>
            </w:r>
          </w:p>
        </w:tc>
      </w:tr>
    </w:tbl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2E75B6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FLUXO DO PROCESSO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Interna — </w:t>
      </w:r>
      <w:r>
        <w:rPr>
          <w:rFonts w:ascii="Arial" w:cs="Arial" w:eastAsia="Arial" w:hAnsi="Arial"/>
          <w:sz w:val="22"/>
          <w:szCs w:val="22"/>
        </w:rPr>
        <w:t xml:space="preserve">DFD → Instrumento de Oficialização → ETP → TR no SIGA-TR → SEGOV → Pesquisa de preços → Elaboração do edital → Dotação orçamentária.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Publicação — </w:t>
      </w:r>
      <w:r>
        <w:rPr>
          <w:rFonts w:ascii="Arial" w:cs="Arial" w:eastAsia="Arial" w:hAnsi="Arial"/>
          <w:sz w:val="22"/>
          <w:szCs w:val="22"/>
        </w:rPr>
        <w:t xml:space="preserve">Publicar o edital no PNCP e no Portal de Compras MS com prazo mínimo de 8 dias úteis.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Fase Externa — </w:t>
      </w:r>
      <w:r>
        <w:rPr>
          <w:rFonts w:ascii="Arial" w:cs="Arial" w:eastAsia="Arial" w:hAnsi="Arial"/>
          <w:sz w:val="22"/>
          <w:szCs w:val="22"/>
        </w:rPr>
        <w:t xml:space="preserve">Recebimento de propostas → Abertura e análise → Lances → Habilitação → Recursos → Adjudicação → Homologação.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Formalização — </w:t>
      </w:r>
      <w:r>
        <w:rPr>
          <w:rFonts w:ascii="Arial" w:cs="Arial" w:eastAsia="Arial" w:hAnsi="Arial"/>
          <w:sz w:val="22"/>
          <w:szCs w:val="22"/>
        </w:rPr>
        <w:t xml:space="preserve">Assinatura do contrato ou ARP → Publicação no PNCP → Designação de gestor e fiscal → Início da execução.</w:t>
      </w:r>
    </w:p>
    <w:p>
      <w:pPr>
        <w:spacing w:after="80" w:before="3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 Completo / Matrícula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 de Planejamento — CPLAN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Autoridade Máxima / SEJUSP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Ordenador de Despesas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72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SEJUSP/MS · Pregão Eletrônico · Dec. 16.118/2023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tabs>
        <w:tab w:val="right" w:pos="9072"/>
      </w:tabs>
      <w:spacing w:after="60" w:before="6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SUPLANTEC/SEJUSP — PREGÃO ELETRÔNICO — Lei 14.133/2021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MODELO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2026-05-09T01:29:51.467Z</dcterms:created>
  <dcterms:modified xsi:type="dcterms:W3CDTF">2026-05-09T01:29:51.467Z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