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89143" w14:textId="0775A43C" w:rsidR="009361C7" w:rsidRPr="009361C7" w:rsidRDefault="00B76CE4" w:rsidP="009361C7">
      <w:pPr>
        <w:pStyle w:val="a9"/>
        <w:rPr>
          <w:lang w:val="en-US"/>
        </w:rPr>
      </w:pPr>
      <w:r>
        <w:t xml:space="preserve">Схема подключения модуля </w:t>
      </w:r>
      <w:r>
        <w:rPr>
          <w:lang w:val="en-US"/>
        </w:rPr>
        <w:t>HW-</w:t>
      </w:r>
      <w:r w:rsidR="008D1142">
        <w:rPr>
          <w:lang w:val="en-US"/>
        </w:rPr>
        <w:t>097</w:t>
      </w:r>
    </w:p>
    <w:p w14:paraId="6A23ACB9" w14:textId="2A00E370" w:rsidR="008D1142" w:rsidRDefault="00000000" w:rsidP="00427226">
      <w:pPr>
        <w:pStyle w:val="aa"/>
      </w:pPr>
      <w:r>
        <w:pict w14:anchorId="77C457CB">
          <v:group id="_x0000_s1027" editas="canvas" style="width:494.75pt;height:219.15pt;mso-position-horizontal-relative:char;mso-position-vertical-relative:line" coordorigin="1939,5670" coordsize="7616,33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939;top:5670;width:7616;height:337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7059;top:7546;width:493;height:296" stroked="f">
              <v:textbox style="mso-next-textbox:#_x0000_s1048">
                <w:txbxContent>
                  <w:p w14:paraId="56A304D8" w14:textId="24733244" w:rsidR="00623681" w:rsidRPr="00623681" w:rsidRDefault="0014177F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49" type="#_x0000_t202" style="position:absolute;left:7049;top:7916;width:685;height:288" stroked="f">
              <v:textbox style="mso-next-textbox:#_x0000_s1049">
                <w:txbxContent>
                  <w:p w14:paraId="0F0CD5B7" w14:textId="10F3ECDD" w:rsidR="00623681" w:rsidRPr="00623681" w:rsidRDefault="00036671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GNDD</w:t>
                    </w:r>
                  </w:p>
                </w:txbxContent>
              </v:textbox>
            </v:shape>
            <v:rect id="_x0000_s1028" style="position:absolute;left:5364;top:6230;width:1685;height:240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3748;top:7098;width:1607;height:1" o:connectortype="straight"/>
            <v:shape id="_x0000_s1031" type="#_x0000_t32" style="position:absolute;left:4725;top:7457;width:630;height:12" o:connectortype="straight"/>
            <v:shape id="_x0000_s1032" type="#_x0000_t32" style="position:absolute;left:3696;top:7853;width:1668;height:1" o:connectortype="straight"/>
            <v:shape id="_x0000_s1033" type="#_x0000_t32" style="position:absolute;left:3734;top:8222;width:1630;height:2" o:connectortype="straight"/>
            <v:shape id="_x0000_s1036" type="#_x0000_t32" style="position:absolute;left:7059;top:8224;width:1076;height:1" o:connectortype="straight"/>
            <v:shape id="_x0000_s1038" type="#_x0000_t32" style="position:absolute;left:7059;top:7467;width:1076;height:1" o:connectortype="straight"/>
            <v:shape id="_x0000_s1039" type="#_x0000_t32" style="position:absolute;left:7059;top:7097;width:1076;height:1" o:connectortype="straight"/>
            <v:shape id="_x0000_s1042" type="#_x0000_t202" style="position:absolute;left:4851;top:6780;width:493;height:308" stroked="f">
              <v:textbox style="mso-next-textbox:#_x0000_s1042">
                <w:txbxContent>
                  <w:p w14:paraId="2C6E4262" w14:textId="77777777" w:rsidR="00623681" w:rsidRPr="00623681" w:rsidRDefault="00623681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</w:t>
                    </w:r>
                  </w:p>
                </w:txbxContent>
              </v:textbox>
            </v:shape>
            <v:shape id="_x0000_s1043" type="#_x0000_t202" style="position:absolute;left:4851;top:7149;width:493;height:308" stroked="f">
              <v:textbox style="mso-next-textbox:#_x0000_s1043">
                <w:txbxContent>
                  <w:p w14:paraId="0DF1E391" w14:textId="5438905F" w:rsidR="00623681" w:rsidRPr="00623681" w:rsidRDefault="00623681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  <w:r w:rsidR="00036671">
                      <w:rPr>
                        <w:lang w:val="en-US"/>
                      </w:rPr>
                      <w:t>E</w:t>
                    </w:r>
                  </w:p>
                </w:txbxContent>
              </v:textbox>
            </v:shape>
            <v:shape id="_x0000_s1044" type="#_x0000_t202" style="position:absolute;left:4851;top:7534;width:493;height:308" stroked="f">
              <v:textbox style="mso-next-textbox:#_x0000_s1044">
                <w:txbxContent>
                  <w:p w14:paraId="79BDE011" w14:textId="0D3AF985" w:rsidR="00623681" w:rsidRPr="00623681" w:rsidRDefault="00036671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</w:t>
                    </w:r>
                  </w:p>
                </w:txbxContent>
              </v:textbox>
            </v:shape>
            <v:shape id="_x0000_s1045" type="#_x0000_t202" style="position:absolute;left:4851;top:7896;width:493;height:308" stroked="f">
              <v:textbox style="mso-next-textbox:#_x0000_s1045">
                <w:txbxContent>
                  <w:p w14:paraId="21910756" w14:textId="63269536" w:rsidR="00623681" w:rsidRPr="00BB34B7" w:rsidRDefault="00036671">
                    <w:pPr>
                      <w:ind w:left="0"/>
                    </w:pPr>
                    <w:r>
                      <w:rPr>
                        <w:lang w:val="en-US"/>
                      </w:rPr>
                      <w:t>DI</w:t>
                    </w:r>
                  </w:p>
                </w:txbxContent>
              </v:textbox>
            </v:shape>
            <v:shape id="_x0000_s1046" type="#_x0000_t202" style="position:absolute;left:7072;top:6768;width:685;height:309" stroked="f">
              <v:textbox style="mso-next-textbox:#_x0000_s1046">
                <w:txbxContent>
                  <w:p w14:paraId="699E7906" w14:textId="6E2C7F19" w:rsidR="00623681" w:rsidRPr="00623681" w:rsidRDefault="00036671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VCC</w:t>
                    </w:r>
                  </w:p>
                </w:txbxContent>
              </v:textbox>
            </v:shape>
            <v:shape id="_x0000_s1047" type="#_x0000_t202" style="position:absolute;left:7059;top:7149;width:493;height:308" stroked="f">
              <v:textbox style="mso-next-textbox:#_x0000_s1047">
                <w:txbxContent>
                  <w:p w14:paraId="32339A1A" w14:textId="7652B837" w:rsidR="00623681" w:rsidRPr="00623681" w:rsidRDefault="0014177F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50" type="#_x0000_t202" style="position:absolute;left:5537;top:6377;width:1332;height:307" stroked="f">
              <v:textbox style="mso-next-textbox:#_x0000_s1050">
                <w:txbxContent>
                  <w:p w14:paraId="535BEC91" w14:textId="1080A503" w:rsidR="0014177F" w:rsidRPr="00BB34B7" w:rsidRDefault="0014177F" w:rsidP="0014177F">
                    <w:pPr>
                      <w:ind w:left="0"/>
                      <w:jc w:val="center"/>
                    </w:pPr>
                    <w:r>
                      <w:rPr>
                        <w:lang w:val="en-US"/>
                      </w:rPr>
                      <w:t>HW-097</w:t>
                    </w:r>
                  </w:p>
                </w:txbxContent>
              </v:textbox>
            </v:shape>
            <v:shape id="_x0000_s1051" type="#_x0000_t202" style="position:absolute;left:8321;top:7299;width:1032;height:307" stroked="f">
              <v:textbox style="mso-next-textbox:#_x0000_s1051">
                <w:txbxContent>
                  <w:p w14:paraId="64235893" w14:textId="7EEB07C6" w:rsidR="00132C34" w:rsidRPr="00623681" w:rsidRDefault="00132C34">
                    <w:pPr>
                      <w:ind w:left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ModBus</w:t>
                    </w:r>
                    <w:proofErr w:type="spellEnd"/>
                    <w:r>
                      <w:rPr>
                        <w:lang w:val="en-US"/>
                      </w:rPr>
                      <w:t xml:space="preserve"> B</w:t>
                    </w:r>
                  </w:p>
                </w:txbxContent>
              </v:textbox>
            </v:shape>
            <v:shape id="_x0000_s1052" type="#_x0000_t202" style="position:absolute;left:8321;top:7700;width:1032;height:306" stroked="f">
              <v:textbox style="mso-next-textbox:#_x0000_s1052">
                <w:txbxContent>
                  <w:p w14:paraId="34F8AC11" w14:textId="36BD5666" w:rsidR="00132C34" w:rsidRPr="00623681" w:rsidRDefault="00132C34">
                    <w:pPr>
                      <w:ind w:left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ModBus</w:t>
                    </w:r>
                    <w:proofErr w:type="spellEnd"/>
                    <w:r>
                      <w:rPr>
                        <w:lang w:val="en-US"/>
                      </w:rPr>
                      <w:t xml:space="preserve"> A</w:t>
                    </w:r>
                  </w:p>
                </w:txbxContent>
              </v:textbox>
            </v:shape>
            <v:shape id="_x0000_s1053" type="#_x0000_t202" style="position:absolute;left:8321;top:8070;width:1032;height:305" stroked="f">
              <v:textbox style="mso-next-textbox:#_x0000_s1053">
                <w:txbxContent>
                  <w:p w14:paraId="68178F5A" w14:textId="59879F5E" w:rsidR="00132C34" w:rsidRPr="00623681" w:rsidRDefault="00132C34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GND</w:t>
                    </w:r>
                  </w:p>
                </w:txbxContent>
              </v:textbox>
            </v:shape>
            <v:shape id="_x0000_s1054" type="#_x0000_t202" style="position:absolute;left:8321;top:6938;width:1032;height:306" stroked="f">
              <v:textbox style="mso-next-textbox:#_x0000_s1054">
                <w:txbxContent>
                  <w:p w14:paraId="01D59442" w14:textId="65A58227" w:rsidR="00132C34" w:rsidRPr="00623681" w:rsidRDefault="00132C34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</w:t>
                    </w:r>
                    <w:r w:rsidR="00DD25BF">
                      <w:rPr>
                        <w:lang w:val="en-US"/>
                      </w:rPr>
                      <w:t>5</w:t>
                    </w:r>
                    <w:r>
                      <w:rPr>
                        <w:lang w:val="en-US"/>
                      </w:rPr>
                      <w:t>V</w:t>
                    </w:r>
                  </w:p>
                </w:txbxContent>
              </v:textbox>
            </v:shape>
            <v:shape id="_x0000_s1055" type="#_x0000_t32" style="position:absolute;left:4725;top:7457;width:1;height:406" o:connectortype="straight"/>
            <v:oval id="_x0000_s1056" style="position:absolute;left:4679;top:7807;width:110;height:110" fillcolor="black [3200]" strokecolor="#f2f2f2 [3041]" strokeweight=".25pt">
              <v:shadow type="perspective" color="#7f7f7f [1601]" opacity=".5" offset="1pt" offset2="-1pt"/>
            </v:oval>
            <v:rect id="_x0000_s1057" style="position:absolute;left:2208;top:6230;width:1526;height:2382"/>
            <v:shape id="_x0000_s1058" type="#_x0000_t202" style="position:absolute;left:2311;top:6361;width:1385;height:430" stroked="f">
              <v:textbox style="mso-next-textbox:#_x0000_s1058">
                <w:txbxContent>
                  <w:p w14:paraId="7B818C1F" w14:textId="315AFBB0" w:rsidR="00010AA9" w:rsidRPr="00010AA9" w:rsidRDefault="00010AA9" w:rsidP="00822FBB">
                    <w:pPr>
                      <w:ind w:left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STM32-F4</w:t>
                    </w:r>
                    <w:r w:rsidR="00822FBB">
                      <w:rPr>
                        <w:lang w:val="en-US"/>
                      </w:rPr>
                      <w:t>29</w:t>
                    </w:r>
                  </w:p>
                </w:txbxContent>
              </v:textbox>
            </v:shape>
            <v:shape id="_x0000_s1059" type="#_x0000_t202" style="position:absolute;left:3765;top:6780;width:662;height:308" stroked="f">
              <v:textbox style="mso-next-textbox:#_x0000_s1059">
                <w:txbxContent>
                  <w:p w14:paraId="2D80561F" w14:textId="0D6AAA06" w:rsidR="00822FBB" w:rsidRPr="00623681" w:rsidRDefault="00822FBB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</w:t>
                    </w:r>
                    <w:r w:rsidR="000B7754">
                      <w:rPr>
                        <w:lang w:val="en-US"/>
                      </w:rPr>
                      <w:t>X</w:t>
                    </w:r>
                  </w:p>
                </w:txbxContent>
              </v:textbox>
            </v:shape>
            <v:shape id="_x0000_s1060" type="#_x0000_t202" style="position:absolute;left:3748;top:7526;width:494;height:308" stroked="f">
              <v:textbox style="mso-next-textbox:#_x0000_s1060">
                <w:txbxContent>
                  <w:p w14:paraId="2C17452A" w14:textId="084F91BC" w:rsidR="00822FBB" w:rsidRPr="00623681" w:rsidRDefault="005433FA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</w:t>
                    </w:r>
                  </w:p>
                </w:txbxContent>
              </v:textbox>
            </v:shape>
            <v:shape id="_x0000_s1061" type="#_x0000_t202" style="position:absolute;left:3748;top:7896;width:702;height:308" stroked="f">
              <v:textbox style="mso-next-textbox:#_x0000_s1061">
                <w:txbxContent>
                  <w:p w14:paraId="0AFF0534" w14:textId="5009524A" w:rsidR="00822FBB" w:rsidRPr="00623681" w:rsidRDefault="000B7754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TX</w:t>
                    </w:r>
                  </w:p>
                </w:txbxContent>
              </v:textbox>
            </v:shape>
            <v:shape id="_x0000_s1062" type="#_x0000_t202" style="position:absolute;left:2972;top:6918;width:663;height:307" stroked="f">
              <v:textbox style="mso-next-textbox:#_x0000_s1062">
                <w:txbxContent>
                  <w:p w14:paraId="78DE2BA6" w14:textId="2D989DAA" w:rsidR="00820D15" w:rsidRPr="00623681" w:rsidRDefault="005433FA" w:rsidP="005433FA">
                    <w:pPr>
                      <w:ind w:left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PD2</w:t>
                    </w:r>
                  </w:p>
                </w:txbxContent>
              </v:textbox>
            </v:shape>
            <v:shape id="_x0000_s1065" type="#_x0000_t202" style="position:absolute;left:2964;top:7657;width:664;height:307" stroked="f">
              <v:textbox style="mso-next-textbox:#_x0000_s1065">
                <w:txbxContent>
                  <w:p w14:paraId="2FC800D9" w14:textId="111E1B33" w:rsidR="00820D15" w:rsidRPr="00623681" w:rsidRDefault="00A04992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  <w:r w:rsidR="008B1276">
                      <w:rPr>
                        <w:lang w:val="en-US"/>
                      </w:rPr>
                      <w:t>C8</w:t>
                    </w:r>
                  </w:p>
                </w:txbxContent>
              </v:textbox>
            </v:shape>
            <v:shape id="_x0000_s1066" type="#_x0000_t202" style="position:absolute;left:2964;top:8057;width:664;height:308" stroked="f">
              <v:textbox style="mso-next-textbox:#_x0000_s1066">
                <w:txbxContent>
                  <w:p w14:paraId="6244A22A" w14:textId="204EE317" w:rsidR="00820D15" w:rsidRPr="00623681" w:rsidRDefault="005433FA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PC12</w:t>
                    </w:r>
                  </w:p>
                </w:txbxContent>
              </v:textbox>
            </v:shape>
            <v:shape id="_x0000_s1037" type="#_x0000_t32" style="position:absolute;left:7059;top:7862;width:1076;height:1" o:connectortype="straight"/>
            <w10:anchorlock/>
          </v:group>
        </w:pict>
      </w:r>
    </w:p>
    <w:p w14:paraId="6F9DE937" w14:textId="71C4F2E0" w:rsidR="00400A8F" w:rsidRPr="00D34FEB" w:rsidRDefault="00400A8F" w:rsidP="00D34FEB">
      <w:pPr>
        <w:pStyle w:val="a9"/>
      </w:pPr>
      <w:r>
        <w:t xml:space="preserve">Схема подключения датчика </w:t>
      </w:r>
      <w:r w:rsidR="00D34FEB" w:rsidRPr="00D34FEB">
        <w:t>GL-TH04-MT</w:t>
      </w:r>
    </w:p>
    <w:p w14:paraId="2ABAA724" w14:textId="34AEADDB" w:rsidR="00D34FEB" w:rsidRDefault="00D34FEB" w:rsidP="00D34FEB">
      <w:pPr>
        <w:pStyle w:val="ac"/>
        <w:numPr>
          <w:ilvl w:val="0"/>
          <w:numId w:val="22"/>
        </w:numPr>
      </w:pPr>
      <w:r>
        <w:t xml:space="preserve">Жёлтый –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A</w:t>
      </w:r>
    </w:p>
    <w:p w14:paraId="2459583E" w14:textId="10505200" w:rsidR="00D34FEB" w:rsidRDefault="000E4349" w:rsidP="00D34FEB">
      <w:pPr>
        <w:pStyle w:val="ac"/>
        <w:numPr>
          <w:ilvl w:val="0"/>
          <w:numId w:val="22"/>
        </w:numPr>
      </w:pPr>
      <w:r>
        <w:t xml:space="preserve">Синий – </w:t>
      </w: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B</w:t>
      </w:r>
    </w:p>
    <w:p w14:paraId="1928172B" w14:textId="2C519A33" w:rsidR="000E4349" w:rsidRDefault="000E4349" w:rsidP="00D34FEB">
      <w:pPr>
        <w:pStyle w:val="ac"/>
        <w:numPr>
          <w:ilvl w:val="0"/>
          <w:numId w:val="22"/>
        </w:numPr>
      </w:pPr>
      <w:r>
        <w:t>Коричневый –  +12</w:t>
      </w:r>
      <w:r>
        <w:rPr>
          <w:lang w:val="en-US"/>
        </w:rPr>
        <w:t>V</w:t>
      </w:r>
      <w:r w:rsidR="001D22A2">
        <w:t xml:space="preserve"> (от внешнего питания)</w:t>
      </w:r>
    </w:p>
    <w:p w14:paraId="4A00A8C8" w14:textId="53B50789" w:rsidR="000E4349" w:rsidRDefault="000E4349" w:rsidP="00D34FEB">
      <w:pPr>
        <w:pStyle w:val="ac"/>
        <w:numPr>
          <w:ilvl w:val="0"/>
          <w:numId w:val="22"/>
        </w:numPr>
      </w:pPr>
      <w:r>
        <w:t xml:space="preserve">Чёрный – </w:t>
      </w:r>
      <w:r>
        <w:rPr>
          <w:lang w:val="en-US"/>
        </w:rPr>
        <w:t>GND</w:t>
      </w:r>
      <w:r w:rsidR="001D22A2">
        <w:t xml:space="preserve"> (от внешнего питания)</w:t>
      </w:r>
    </w:p>
    <w:p w14:paraId="646ED50D" w14:textId="77777777" w:rsidR="00264383" w:rsidRDefault="00264383" w:rsidP="00264383">
      <w:pPr>
        <w:pStyle w:val="a9"/>
      </w:pPr>
    </w:p>
    <w:p w14:paraId="65BFB27E" w14:textId="184D3173" w:rsidR="00264383" w:rsidRPr="00264383" w:rsidRDefault="00264383" w:rsidP="00264383">
      <w:pPr>
        <w:pStyle w:val="a9"/>
      </w:pPr>
      <w:r>
        <w:t xml:space="preserve">Схема подключения модуля </w:t>
      </w:r>
      <w:r w:rsidRPr="00264383">
        <w:t xml:space="preserve">HW-097 </w:t>
      </w:r>
      <w:r>
        <w:t>к шине программирования</w:t>
      </w:r>
    </w:p>
    <w:p w14:paraId="0C9FE32D" w14:textId="062F6B29" w:rsidR="000E4349" w:rsidRPr="00D34FEB" w:rsidRDefault="00000000" w:rsidP="003028F7">
      <w:pPr>
        <w:pStyle w:val="ac"/>
        <w:numPr>
          <w:ilvl w:val="0"/>
          <w:numId w:val="22"/>
        </w:numPr>
        <w:ind w:left="-142"/>
      </w:pPr>
      <w:r>
        <w:pict w14:anchorId="349A2C8E">
          <v:group id="_x0000_s1068" editas="canvas" style="width:494.75pt;height:219.15pt;mso-position-horizontal-relative:char;mso-position-vertical-relative:line" coordorigin="1939,5670" coordsize="7616,3373">
            <o:lock v:ext="edit" aspectratio="t"/>
            <v:shape id="_x0000_s1069" type="#_x0000_t75" style="position:absolute;left:1939;top:5670;width:7616;height:3373" o:preferrelative="f">
              <v:fill o:detectmouseclick="t"/>
              <v:path o:extrusionok="t" o:connecttype="none"/>
              <o:lock v:ext="edit" text="t"/>
            </v:shape>
            <v:rect id="_x0000_s1070" style="position:absolute;left:5364;top:6230;width:1685;height:2400"/>
            <v:shape id="_x0000_s1071" type="#_x0000_t32" style="position:absolute;left:3748;top:7098;width:1607;height:1" o:connectortype="straight"/>
            <v:shape id="_x0000_s1072" type="#_x0000_t32" style="position:absolute;left:4725;top:7457;width:630;height:12" o:connectortype="straight"/>
            <v:shape id="_x0000_s1073" type="#_x0000_t32" style="position:absolute;left:3696;top:7853;width:1668;height:1" o:connectortype="straight"/>
            <v:shape id="_x0000_s1074" type="#_x0000_t32" style="position:absolute;left:3734;top:8222;width:1630;height:2" o:connectortype="straight"/>
            <v:shape id="_x0000_s1077" type="#_x0000_t32" style="position:absolute;left:7059;top:7467;width:1076;height:1" o:connectortype="straight"/>
            <v:shape id="_x0000_s1078" type="#_x0000_t32" style="position:absolute;left:7059;top:7097;width:1076;height:1" o:connectortype="straight"/>
            <v:shape id="_x0000_s1079" type="#_x0000_t202" style="position:absolute;left:4851;top:6780;width:493;height:308" stroked="f">
              <v:textbox style="mso-next-textbox:#_x0000_s1079">
                <w:txbxContent>
                  <w:p w14:paraId="19AC1B2E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</w:t>
                    </w:r>
                  </w:p>
                </w:txbxContent>
              </v:textbox>
            </v:shape>
            <v:shape id="_x0000_s1080" type="#_x0000_t202" style="position:absolute;left:4851;top:7149;width:493;height:308" stroked="f">
              <v:textbox style="mso-next-textbox:#_x0000_s1080">
                <w:txbxContent>
                  <w:p w14:paraId="38C3B7BD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RE</w:t>
                    </w:r>
                  </w:p>
                </w:txbxContent>
              </v:textbox>
            </v:shape>
            <v:shape id="_x0000_s1081" type="#_x0000_t202" style="position:absolute;left:4851;top:7534;width:493;height:308" stroked="f">
              <v:textbox style="mso-next-textbox:#_x0000_s1081">
                <w:txbxContent>
                  <w:p w14:paraId="2AF8D27D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</w:t>
                    </w:r>
                  </w:p>
                </w:txbxContent>
              </v:textbox>
            </v:shape>
            <v:shape id="_x0000_s1082" type="#_x0000_t202" style="position:absolute;left:4851;top:7896;width:493;height:308" stroked="f">
              <v:textbox style="mso-next-textbox:#_x0000_s1082">
                <w:txbxContent>
                  <w:p w14:paraId="42094376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DI</w:t>
                    </w:r>
                  </w:p>
                </w:txbxContent>
              </v:textbox>
            </v:shape>
            <v:shape id="_x0000_s1083" type="#_x0000_t202" style="position:absolute;left:7072;top:6768;width:685;height:309" stroked="f">
              <v:textbox style="mso-next-textbox:#_x0000_s1083">
                <w:txbxContent>
                  <w:p w14:paraId="278592F3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VCC</w:t>
                    </w:r>
                  </w:p>
                </w:txbxContent>
              </v:textbox>
            </v:shape>
            <v:shape id="_x0000_s1084" type="#_x0000_t202" style="position:absolute;left:7059;top:7149;width:493;height:308" stroked="f">
              <v:textbox style="mso-next-textbox:#_x0000_s1084">
                <w:txbxContent>
                  <w:p w14:paraId="5AF2D206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B</w:t>
                    </w:r>
                  </w:p>
                </w:txbxContent>
              </v:textbox>
            </v:shape>
            <v:shape id="_x0000_s1085" type="#_x0000_t202" style="position:absolute;left:7059;top:7546;width:493;height:308" stroked="f">
              <v:textbox style="mso-next-textbox:#_x0000_s1085">
                <w:txbxContent>
                  <w:p w14:paraId="55B5EE0E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</w:t>
                    </w:r>
                  </w:p>
                </w:txbxContent>
              </v:textbox>
            </v:shape>
            <v:shape id="_x0000_s1086" type="#_x0000_t202" style="position:absolute;left:7049;top:7876;width:685;height:395" stroked="f">
              <v:textbox style="mso-next-textbox:#_x0000_s1086">
                <w:txbxContent>
                  <w:p w14:paraId="58D57E36" w14:textId="6CF280C0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GND</w:t>
                    </w:r>
                  </w:p>
                </w:txbxContent>
              </v:textbox>
            </v:shape>
            <v:shape id="_x0000_s1087" type="#_x0000_t202" style="position:absolute;left:5537;top:6377;width:1332;height:307" stroked="f">
              <v:textbox style="mso-next-textbox:#_x0000_s1087">
                <w:txbxContent>
                  <w:p w14:paraId="719DE1B4" w14:textId="32471B63" w:rsidR="00264383" w:rsidRPr="00BB34B7" w:rsidRDefault="00264383" w:rsidP="00264383">
                    <w:pPr>
                      <w:ind w:left="0"/>
                      <w:jc w:val="center"/>
                    </w:pPr>
                    <w:r>
                      <w:rPr>
                        <w:lang w:val="en-US"/>
                      </w:rPr>
                      <w:t>HW-097</w:t>
                    </w:r>
                    <w:r w:rsidR="00BB34B7">
                      <w:t xml:space="preserve"> </w:t>
                    </w:r>
                  </w:p>
                </w:txbxContent>
              </v:textbox>
            </v:shape>
            <v:shape id="_x0000_s1088" type="#_x0000_t202" style="position:absolute;left:8321;top:7299;width:1032;height:307" stroked="f">
              <v:textbox style="mso-next-textbox:#_x0000_s1088">
                <w:txbxContent>
                  <w:p w14:paraId="064AE9AA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ModBus</w:t>
                    </w:r>
                    <w:proofErr w:type="spellEnd"/>
                    <w:r>
                      <w:rPr>
                        <w:lang w:val="en-US"/>
                      </w:rPr>
                      <w:t xml:space="preserve"> B</w:t>
                    </w:r>
                  </w:p>
                </w:txbxContent>
              </v:textbox>
            </v:shape>
            <v:shape id="_x0000_s1089" type="#_x0000_t202" style="position:absolute;left:8321;top:7700;width:1032;height:306" stroked="f">
              <v:textbox style="mso-next-textbox:#_x0000_s1089">
                <w:txbxContent>
                  <w:p w14:paraId="3A1326FA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ModBus</w:t>
                    </w:r>
                    <w:proofErr w:type="spellEnd"/>
                    <w:r>
                      <w:rPr>
                        <w:lang w:val="en-US"/>
                      </w:rPr>
                      <w:t xml:space="preserve"> A</w:t>
                    </w:r>
                  </w:p>
                </w:txbxContent>
              </v:textbox>
            </v:shape>
            <v:shape id="_x0000_s1090" type="#_x0000_t202" style="position:absolute;left:8321;top:8070;width:1032;height:305" stroked="f">
              <v:textbox style="mso-next-textbox:#_x0000_s1090">
                <w:txbxContent>
                  <w:p w14:paraId="083F1AC6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GND</w:t>
                    </w:r>
                  </w:p>
                </w:txbxContent>
              </v:textbox>
            </v:shape>
            <v:shape id="_x0000_s1091" type="#_x0000_t202" style="position:absolute;left:8321;top:6938;width:1032;height:306" stroked="f">
              <v:textbox style="mso-next-textbox:#_x0000_s1091">
                <w:txbxContent>
                  <w:p w14:paraId="3AE5029B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+5V</w:t>
                    </w:r>
                  </w:p>
                </w:txbxContent>
              </v:textbox>
            </v:shape>
            <v:shape id="_x0000_s1092" type="#_x0000_t32" style="position:absolute;left:4725;top:7457;width:1;height:406" o:connectortype="straight"/>
            <v:oval id="_x0000_s1093" style="position:absolute;left:4679;top:7807;width:110;height:110" fillcolor="black [3200]" strokecolor="#f2f2f2 [3041]" strokeweight=".25pt">
              <v:shadow type="perspective" color="#7f7f7f [1601]" opacity=".5" offset="1pt" offset2="-1pt"/>
            </v:oval>
            <v:rect id="_x0000_s1094" style="position:absolute;left:2208;top:6230;width:1526;height:2382"/>
            <v:shape id="_x0000_s1095" type="#_x0000_t202" style="position:absolute;left:2311;top:6361;width:1385;height:430" stroked="f">
              <v:textbox style="mso-next-textbox:#_x0000_s1095">
                <w:txbxContent>
                  <w:p w14:paraId="215FCE9E" w14:textId="77777777" w:rsidR="00264383" w:rsidRPr="00010AA9" w:rsidRDefault="00264383" w:rsidP="00264383">
                    <w:pPr>
                      <w:ind w:left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STM32-F429</w:t>
                    </w:r>
                  </w:p>
                </w:txbxContent>
              </v:textbox>
            </v:shape>
            <v:shape id="_x0000_s1096" type="#_x0000_t202" style="position:absolute;left:3765;top:6780;width:662;height:308" stroked="f">
              <v:textbox style="mso-next-textbox:#_x0000_s1096">
                <w:txbxContent>
                  <w:p w14:paraId="7EC6031D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RX</w:t>
                    </w:r>
                  </w:p>
                </w:txbxContent>
              </v:textbox>
            </v:shape>
            <v:shape id="_x0000_s1097" type="#_x0000_t202" style="position:absolute;left:3748;top:7526;width:494;height:308" stroked="f">
              <v:textbox style="mso-next-textbox:#_x0000_s1097">
                <w:txbxContent>
                  <w:p w14:paraId="788C0A8B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</w:t>
                    </w:r>
                  </w:p>
                </w:txbxContent>
              </v:textbox>
            </v:shape>
            <v:shape id="_x0000_s1098" type="#_x0000_t202" style="position:absolute;left:3748;top:7896;width:702;height:308" stroked="f">
              <v:textbox style="mso-next-textbox:#_x0000_s1098">
                <w:txbxContent>
                  <w:p w14:paraId="7BA41E52" w14:textId="77777777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TX</w:t>
                    </w:r>
                  </w:p>
                </w:txbxContent>
              </v:textbox>
            </v:shape>
            <v:shape id="_x0000_s1099" type="#_x0000_t202" style="position:absolute;left:2972;top:6918;width:663;height:307" stroked="f">
              <v:textbox style="mso-next-textbox:#_x0000_s1099">
                <w:txbxContent>
                  <w:p w14:paraId="51E13020" w14:textId="147A38C1" w:rsidR="00264383" w:rsidRPr="00623681" w:rsidRDefault="00264383" w:rsidP="00264383">
                    <w:pPr>
                      <w:ind w:left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  <w:r w:rsidR="00886429">
                      <w:rPr>
                        <w:lang w:val="en-US"/>
                      </w:rPr>
                      <w:t>C11</w:t>
                    </w:r>
                  </w:p>
                </w:txbxContent>
              </v:textbox>
            </v:shape>
            <v:shape id="_x0000_s1100" type="#_x0000_t202" style="position:absolute;left:2964;top:7657;width:664;height:307" stroked="f">
              <v:textbox style="mso-next-textbox:#_x0000_s1100">
                <w:txbxContent>
                  <w:p w14:paraId="6821F4F6" w14:textId="7D6CA761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  <w:r w:rsidR="00760333">
                      <w:rPr>
                        <w:lang w:val="en-US"/>
                      </w:rPr>
                      <w:t>C2</w:t>
                    </w:r>
                  </w:p>
                </w:txbxContent>
              </v:textbox>
            </v:shape>
            <v:shape id="_x0000_s1101" type="#_x0000_t202" style="position:absolute;left:2964;top:8057;width:664;height:308" stroked="f">
              <v:textbox style="mso-next-textbox:#_x0000_s1101">
                <w:txbxContent>
                  <w:p w14:paraId="41EBFA72" w14:textId="62771F3F" w:rsidR="00264383" w:rsidRPr="00623681" w:rsidRDefault="00264383" w:rsidP="00264383">
                    <w:pPr>
                      <w:ind w:left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</w:t>
                    </w:r>
                    <w:r w:rsidR="00886429">
                      <w:rPr>
                        <w:lang w:val="en-US"/>
                      </w:rPr>
                      <w:t>C10</w:t>
                    </w:r>
                  </w:p>
                </w:txbxContent>
              </v:textbox>
            </v:shape>
            <v:shape id="_x0000_s1075" type="#_x0000_t32" style="position:absolute;left:7059;top:8224;width:1076;height:1" o:connectortype="straight"/>
            <v:shape id="_x0000_s1076" type="#_x0000_t32" style="position:absolute;left:7059;top:7862;width:1076;height:1" o:connectortype="straight"/>
            <w10:anchorlock/>
          </v:group>
        </w:pict>
      </w:r>
    </w:p>
    <w:sectPr w:rsidR="000E4349" w:rsidRPr="00D34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4B80C54"/>
    <w:multiLevelType w:val="hybridMultilevel"/>
    <w:tmpl w:val="4296E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F66BC"/>
    <w:multiLevelType w:val="multilevel"/>
    <w:tmpl w:val="39DAD4A8"/>
    <w:lvl w:ilvl="0">
      <w:start w:val="1"/>
      <w:numFmt w:val="decimal"/>
      <w:pStyle w:val="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3"/>
  </w:num>
  <w:num w:numId="6" w16cid:durableId="365058662">
    <w:abstractNumId w:val="3"/>
  </w:num>
  <w:num w:numId="7" w16cid:durableId="2107800410">
    <w:abstractNumId w:val="3"/>
  </w:num>
  <w:num w:numId="8" w16cid:durableId="828524516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3"/>
  </w:num>
  <w:num w:numId="11" w16cid:durableId="278024588">
    <w:abstractNumId w:val="3"/>
  </w:num>
  <w:num w:numId="12" w16cid:durableId="52779938">
    <w:abstractNumId w:val="3"/>
  </w:num>
  <w:num w:numId="13" w16cid:durableId="227694923">
    <w:abstractNumId w:val="3"/>
  </w:num>
  <w:num w:numId="14" w16cid:durableId="1270430340">
    <w:abstractNumId w:val="3"/>
  </w:num>
  <w:num w:numId="15" w16cid:durableId="1876960014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 w16cid:durableId="126985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A76"/>
    <w:rsid w:val="00010AA9"/>
    <w:rsid w:val="00036671"/>
    <w:rsid w:val="000B7754"/>
    <w:rsid w:val="000E4349"/>
    <w:rsid w:val="00122BCB"/>
    <w:rsid w:val="00132C34"/>
    <w:rsid w:val="0014177F"/>
    <w:rsid w:val="001A02EA"/>
    <w:rsid w:val="001D22A2"/>
    <w:rsid w:val="00264383"/>
    <w:rsid w:val="0028228D"/>
    <w:rsid w:val="003028F7"/>
    <w:rsid w:val="003F4636"/>
    <w:rsid w:val="00400A8F"/>
    <w:rsid w:val="00427226"/>
    <w:rsid w:val="004C33ED"/>
    <w:rsid w:val="005433FA"/>
    <w:rsid w:val="005975C6"/>
    <w:rsid w:val="00623681"/>
    <w:rsid w:val="00704704"/>
    <w:rsid w:val="00760333"/>
    <w:rsid w:val="00773319"/>
    <w:rsid w:val="007E622C"/>
    <w:rsid w:val="00820D15"/>
    <w:rsid w:val="00822FBB"/>
    <w:rsid w:val="0085681E"/>
    <w:rsid w:val="00886429"/>
    <w:rsid w:val="008B1276"/>
    <w:rsid w:val="008D1142"/>
    <w:rsid w:val="0093076E"/>
    <w:rsid w:val="009361C7"/>
    <w:rsid w:val="00A04992"/>
    <w:rsid w:val="00B26260"/>
    <w:rsid w:val="00B76CE4"/>
    <w:rsid w:val="00BB0A03"/>
    <w:rsid w:val="00BB34B7"/>
    <w:rsid w:val="00BF0A16"/>
    <w:rsid w:val="00C25B5C"/>
    <w:rsid w:val="00C41114"/>
    <w:rsid w:val="00D34FEB"/>
    <w:rsid w:val="00D4364F"/>
    <w:rsid w:val="00DB7A76"/>
    <w:rsid w:val="00DD25BF"/>
    <w:rsid w:val="00DE08C9"/>
    <w:rsid w:val="00E55352"/>
    <w:rsid w:val="00E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  <o:r id="V:Rule4" type="connector" idref="#_x0000_s1038"/>
        <o:r id="V:Rule5" type="connector" idref="#_x0000_s1074"/>
        <o:r id="V:Rule6" type="connector" idref="#_x0000_s1033"/>
        <o:r id="V:Rule7" type="connector" idref="#_x0000_s1036"/>
        <o:r id="V:Rule8" type="connector" idref="#_x0000_s1092"/>
        <o:r id="V:Rule9" type="connector" idref="#_x0000_s1073"/>
        <o:r id="V:Rule10" type="connector" idref="#_x0000_s1077"/>
        <o:r id="V:Rule11" type="connector" idref="#_x0000_s1078"/>
        <o:r id="V:Rule12" type="connector" idref="#_x0000_s1072"/>
        <o:r id="V:Rule13" type="connector" idref="#_x0000_s1076"/>
        <o:r id="V:Rule14" type="connector" idref="#_x0000_s1037"/>
        <o:r id="V:Rule15" type="connector" idref="#_x0000_s1055"/>
        <o:r id="V:Rule16" type="connector" idref="#_x0000_s1071"/>
        <o:r id="V:Rule17" type="connector" idref="#_x0000_s1039"/>
        <o:r id="V:Rule18" type="connector" idref="#_x0000_s1075"/>
      </o:rules>
    </o:shapelayout>
  </w:shapeDefaults>
  <w:decimalSymbol w:val="."/>
  <w:listSeparator w:val=";"/>
  <w14:docId w14:val="3F951015"/>
  <w15:chartTrackingRefBased/>
  <w15:docId w15:val="{C6C7E743-94A7-4DE0-BD45-05560514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27226"/>
    <w:pPr>
      <w:widowControl w:val="0"/>
      <w:autoSpaceDE w:val="0"/>
      <w:autoSpaceDN w:val="0"/>
      <w:adjustRightInd w:val="0"/>
      <w:spacing w:after="0" w:line="240" w:lineRule="auto"/>
      <w:ind w:left="-34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  <w:ind w:left="0"/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pPr>
      <w:ind w:left="0"/>
    </w:pPr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  <w:ind w:left="0"/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  <w:ind w:left="0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  <w:ind w:left="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left="0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pPr>
      <w:ind w:left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Александр Щёголев</cp:lastModifiedBy>
  <cp:revision>43</cp:revision>
  <dcterms:created xsi:type="dcterms:W3CDTF">2023-08-14T12:10:00Z</dcterms:created>
  <dcterms:modified xsi:type="dcterms:W3CDTF">2023-10-20T08:35:00Z</dcterms:modified>
</cp:coreProperties>
</file>