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A79F" w14:textId="5D43ECDB" w:rsidR="00964234" w:rsidRDefault="00964234" w:rsidP="00964234">
      <w:pPr>
        <w:rPr>
          <w:lang w:val="en-US" w:eastAsia="ru-RU"/>
        </w:rPr>
      </w:pPr>
      <w:r>
        <w:rPr>
          <w:lang w:val="en-US" w:eastAsia="ru-RU"/>
        </w:rPr>
        <w:fldChar w:fldCharType="begin"/>
      </w:r>
      <w:r>
        <w:rPr>
          <w:lang w:val="en-US" w:eastAsia="ru-RU"/>
        </w:rPr>
        <w:instrText>HYPERLINK "</w:instrText>
      </w:r>
      <w:r w:rsidRPr="00964234">
        <w:rPr>
          <w:lang w:val="en-US" w:eastAsia="ru-RU"/>
        </w:rPr>
        <w:instrText>https://www.reallab.ru/bookasutp/2-promishlennie-seti-i-interfeisi/2-8-modbus/</w:instrText>
      </w:r>
      <w:r>
        <w:rPr>
          <w:lang w:val="en-US" w:eastAsia="ru-RU"/>
        </w:rPr>
        <w:instrText>"</w:instrText>
      </w:r>
      <w:r>
        <w:rPr>
          <w:lang w:val="en-US" w:eastAsia="ru-RU"/>
        </w:rPr>
        <w:fldChar w:fldCharType="separate"/>
      </w:r>
      <w:r w:rsidRPr="00CF1135">
        <w:rPr>
          <w:rStyle w:val="a5"/>
          <w:lang w:val="en-US" w:eastAsia="ru-RU"/>
        </w:rPr>
        <w:t>https://www.reallab.ru/bookasutp/2-promishlennie-seti-i-interfeisi/2-8-modbus/</w:t>
      </w:r>
      <w:r>
        <w:rPr>
          <w:lang w:val="en-US" w:eastAsia="ru-RU"/>
        </w:rPr>
        <w:fldChar w:fldCharType="end"/>
      </w:r>
    </w:p>
    <w:p w14:paraId="2C8BAB62" w14:textId="2B5CA7DE" w:rsidR="00964234" w:rsidRPr="00964234" w:rsidRDefault="00964234" w:rsidP="00964234">
      <w:pPr>
        <w:spacing w:after="100" w:afterAutospacing="1" w:line="240" w:lineRule="auto"/>
        <w:outlineLvl w:val="1"/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</w:pPr>
      <w:r w:rsidRPr="00964234">
        <w:rPr>
          <w:rFonts w:ascii="Trebuchet MS" w:eastAsia="Times New Roman" w:hAnsi="Trebuchet MS" w:cs="Times New Roman"/>
          <w:caps/>
          <w:color w:val="1790B9"/>
          <w:sz w:val="35"/>
          <w:szCs w:val="35"/>
          <w:lang w:val="en-US" w:eastAsia="ru-RU"/>
        </w:rPr>
        <w:t xml:space="preserve">2.8.1. </w:t>
      </w:r>
      <w:r w:rsidRPr="00964234"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  <w:t>ФИЗИЧЕСКИЙ УРОВЕНЬ</w:t>
      </w:r>
    </w:p>
    <w:p w14:paraId="053AA84B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В новых разработках на основе Modbus стандарт рекомендует использовать интерфейс RS-485 с двухпроводной линией передачи, но допускается применение четырехпроводной линии и интерфейса RS-232.</w:t>
      </w:r>
    </w:p>
    <w:p w14:paraId="365708FB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Modbus-шина должна состоять из одного магистрального кабеля, от которого могут быть сделаны отводы. Магистральный кабель Modbus должен содержать 3 проводника в общем экране, два из которых представляют собой витую пару, а третий соединяет общие ("земляные") выводы всех интерфейсов RS-485 в сети. Общий провод и экран должны быть заземлены </w:t>
      </w:r>
      <w:r w:rsidRPr="00964234">
        <w:rPr>
          <w:rFonts w:ascii="Trebuchet MS" w:eastAsia="Times New Roman" w:hAnsi="Trebuchet MS" w:cs="Times New Roman"/>
          <w:i/>
          <w:iCs/>
          <w:color w:val="686868"/>
          <w:sz w:val="21"/>
          <w:szCs w:val="21"/>
          <w:lang w:eastAsia="ru-RU"/>
        </w:rPr>
        <w:t>в одной точке</w:t>
      </w: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, желательно около ведущего устройства.</w:t>
      </w:r>
    </w:p>
    <w:p w14:paraId="440066D1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Устройства могут подключаться к кабелю тремя способами:</w:t>
      </w:r>
    </w:p>
    <w:p w14:paraId="5E752D66" w14:textId="77777777" w:rsidR="00964234" w:rsidRPr="00964234" w:rsidRDefault="00964234" w:rsidP="00964234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непосредственно к магистральному кабелю;</w:t>
      </w:r>
    </w:p>
    <w:p w14:paraId="505B9B37" w14:textId="77777777" w:rsidR="00964234" w:rsidRPr="00964234" w:rsidRDefault="00964234" w:rsidP="00964234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через пассивный разветвитель (тройник);</w:t>
      </w:r>
    </w:p>
    <w:p w14:paraId="655E5BCE" w14:textId="77777777" w:rsidR="00964234" w:rsidRPr="00964234" w:rsidRDefault="00964234" w:rsidP="00964234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через активный разветвитель (содержащий развязывающий повторитель интерфейса).</w:t>
      </w:r>
    </w:p>
    <w:p w14:paraId="6FF4CAF8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В документации на устройство и на тройник должны быть указаны наименования подключаемых цепей.</w:t>
      </w:r>
    </w:p>
    <w:p w14:paraId="1D1B83D5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На каждом конце магистрального кабеля должны быть установлены резисторы для согласования линии передачи, как это требуется для интерфейса RS-485 (см. выше). В отличие от физического интерфейса RS-485, в котором терминальные резисторы на низких скоростях обмена </w:t>
      </w:r>
      <w:hyperlink r:id="rId6" w:anchor="2.3.3." w:history="1">
        <w:r w:rsidRPr="00964234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можно не использовать</w:t>
        </w:r>
      </w:hyperlink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, стандарт на протокол Modbus формально требует применения терминальных резисторов для всех скоростей обмена. Их номинал может быть равным 150 Ом и мощность 0,5 Вт. Терминальные резисторы, а также резисторы, устраняющие неопределенность состояния линии при высокоомном состоянии передатчиков, устанавливаются так же, как описано в разделе "Интерфейсы RS-485, RS-422 и RS-232". Стандарт требует, чтобы в руководствах по эксплуатации устройств Modbus было сказано, имеются ли указанные резисторы внутри устройства, или их необходимо устанавливать при монтаже сети. Если требуются внешние резисторы, то они должны иметь номинал в интервале от 450 до 650 Ом и быть установлены только в одном месте в пределах каждого сегмента сети (сегментами считаются части сети между повторителями интерфейса).</w:t>
      </w:r>
    </w:p>
    <w:p w14:paraId="439D400C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Modbus-устройство обязательно должно поддерживать скорости обмена 9600 бит/с и 19200 бит/с, из них 19200 бит/с устанавливается "по умолчанию". Допускаются также скорости 1200, 2400, </w:t>
      </w:r>
      <w:proofErr w:type="gramStart"/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4800,...</w:t>
      </w:r>
      <w:proofErr w:type="gramEnd"/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,38400 бит/с, 65 кбит/с, 115 кбит/с,... .</w:t>
      </w:r>
    </w:p>
    <w:p w14:paraId="02AED2A5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Скорость передачи должна выдерживаться в передатчике с погрешностью не хуже 1%, а приемник должен принимать данные при отклонении скорости передачи до 2%.</w:t>
      </w:r>
    </w:p>
    <w:p w14:paraId="07D3C5F5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Сегмент сети, не содержащий повторителей интерфейса, должен допускать подключение до 32 устройств, однако их количество может быть увеличено, если это допустимо исходя из нагрузочной способности передатчиков и входного сопротивления приемников, которые </w:t>
      </w: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lastRenderedPageBreak/>
        <w:t>должны быть приведены в документации на интерфейсы. Указание этих параметров в документации является обязательным требованием стандарта.</w:t>
      </w:r>
    </w:p>
    <w:p w14:paraId="625DFC74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Максимальная длина магистрального кабеля при скорости передачи 9600 бит/с и сечении жил более 0,13 кв. мм (AWG26) составляет 1 км. Отводы от магистрального кабеля не должны быть длиннее 20 м. При использовании многопортового пассивного разветвителя с N отводами длина каждого отвода не должна превышать значения 40 м/N.</w:t>
      </w:r>
    </w:p>
    <w:p w14:paraId="4AAAE4AB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Modbus не устанавливает конкретных типов разъемов, </w:t>
      </w:r>
      <w:proofErr w:type="gramStart"/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но</w:t>
      </w:r>
      <w:proofErr w:type="gramEnd"/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 если используются разъемы RJ45, mini-DIN или D-Shell, они должны быть экранированными, а цоколевки должны соответствовать стандарту.</w:t>
      </w:r>
    </w:p>
    <w:p w14:paraId="19134C50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Для минимизации ошибок при монтаже рекомендуется использовать провода следующих цветов: желтый - для положительного вывода RS-485 (на котором устанавливается логическая "1", когда через интерфейс выводится логическая "1"); коричневый - для второго вывода интерфейса RS-485; серый - для общего провода.</w:t>
      </w:r>
    </w:p>
    <w:p w14:paraId="14636AE3" w14:textId="77777777" w:rsidR="00964234" w:rsidRPr="00964234" w:rsidRDefault="00964234" w:rsidP="00964234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Типовым сечением кабеля является AWG 24 (0,2 кв. мм, диаметр провода 0,51 мм). При использовании </w:t>
      </w:r>
      <w:r w:rsidRPr="00964234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кабеля категории 5</w:t>
      </w:r>
      <w:r w:rsidRPr="00964234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его длина не должна превышать 600 м. Волновое сопротивление кабеля желательно выбирать более 100 Ом, особенно для скорости обмена более 19200 бит/с.</w:t>
      </w:r>
    </w:p>
    <w:p w14:paraId="4984F6BB" w14:textId="77777777" w:rsidR="00517075" w:rsidRPr="00517075" w:rsidRDefault="00517075" w:rsidP="00517075">
      <w:pPr>
        <w:spacing w:after="100" w:afterAutospacing="1" w:line="240" w:lineRule="auto"/>
        <w:outlineLvl w:val="1"/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</w:pPr>
      <w:r w:rsidRPr="00517075"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  <w:t>2.3.5. УСТРАНЕНИЕ СОСТОЯНИЯ НЕОПРЕДЕЛЕННОСТИ ЛИНИИ</w:t>
      </w:r>
    </w:p>
    <w:p w14:paraId="0CFA5202" w14:textId="234CEDAB" w:rsidR="00517075" w:rsidRPr="00517075" w:rsidRDefault="00517075" w:rsidP="00517075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Когда передатчики всех устройств, подключенных к лини</w:t>
      </w:r>
      <w:r w:rsidR="00F73FC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и</w:t>
      </w: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, находятся в третьем (высокоомном) состоянии, логическое состояние линии и входов всех приемников не определено. Чтобы устранить эту неопределенность, неинвертирующий вход приемника соединяют через резистор с шиной питания, а инвертирующий - с шиной "земли". Величины резисторов выбирают такими, чтобы напряжение между входами стало больше порога срабатывания приемника (+200 мВ).</w:t>
      </w:r>
    </w:p>
    <w:p w14:paraId="7A28C3AE" w14:textId="77777777" w:rsidR="00517075" w:rsidRPr="00517075" w:rsidRDefault="00517075" w:rsidP="00517075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Поскольку эти резисторы оказываются подключенными параллельно линии передачи, то для обеспечения согласования линии с интерфейсом необходимо, чтобы эквивалентное сопротивление на входе линии было равно 120 Ом.</w:t>
      </w:r>
    </w:p>
    <w:p w14:paraId="08E7E9D1" w14:textId="6542B85C" w:rsidR="00517075" w:rsidRPr="00517075" w:rsidRDefault="00517075" w:rsidP="00517075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Например, если резисторы, используемые для устранения неопределенности состояния линии, имеют сопротивление 450 Ом каждое, то резистор для согласования линии должен иметь номинал 130 Ом, тогда эквивалентное сопротивление цепи будет равно 114</w:t>
      </w:r>
      <w:r w:rsidRPr="00517075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33EDF278" wp14:editId="3971FEA4">
            <wp:extent cx="114300" cy="114300"/>
            <wp:effectExtent l="0" t="0" r="0" b="0"/>
            <wp:docPr id="11453028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120 Ом. Для того, чтобы найти дифференциальное напряжение линии в третьем состоянии всех передатчиков (см. </w:t>
      </w:r>
      <w:hyperlink r:id="rId8" w:anchor="%D1%80%D0%B8%D1%81.%202.6" w:tooltip="рис. 2.6. Резисторная цепь на выходе трансивера интерфейса, устраняющая неоп..." w:history="1">
        <w:r w:rsidRPr="00517075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рис. 2.6</w:t>
        </w:r>
      </w:hyperlink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), нужно учесть, что к противоположному концу линии в стандартной конфигурации подключен еще один резистор сопротивлением 120 Ом и до 32 приемников с входным дифференциальным сопротивлением 12 кОм. Тогда при напряжении питания </w:t>
      </w:r>
      <w:r w:rsidRPr="00517075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4A7BC5CD" wp14:editId="7C8F07D2">
            <wp:extent cx="426720" cy="182880"/>
            <wp:effectExtent l="0" t="0" r="0" b="0"/>
            <wp:docPr id="1419709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 (</w:t>
      </w:r>
      <w:hyperlink r:id="rId10" w:anchor="%D1%80%D0%B8%D1%81.%202.6" w:history="1">
        <w:r w:rsidRPr="00517075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рис. 2.6</w:t>
        </w:r>
      </w:hyperlink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 дифференциальное напряжение линии будет равно +272 мВ, что удовлетворяет требованию стандарта.</w:t>
      </w:r>
    </w:p>
    <w:p w14:paraId="4401B74A" w14:textId="77777777" w:rsidR="00517075" w:rsidRPr="00517075" w:rsidRDefault="00517075" w:rsidP="00517075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bookmarkStart w:id="0" w:name="рис._2.6"/>
      <w:bookmarkEnd w:id="0"/>
      <w:r w:rsidRPr="00517075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lastRenderedPageBreak/>
        <w:t> </w:t>
      </w:r>
    </w:p>
    <w:tbl>
      <w:tblPr>
        <w:tblW w:w="643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5"/>
      </w:tblGrid>
      <w:tr w:rsidR="00517075" w:rsidRPr="00517075" w14:paraId="331987F1" w14:textId="77777777" w:rsidTr="00517075">
        <w:trPr>
          <w:tblCellSpacing w:w="0" w:type="dxa"/>
          <w:jc w:val="center"/>
        </w:trPr>
        <w:tc>
          <w:tcPr>
            <w:tcW w:w="6345" w:type="dxa"/>
            <w:vAlign w:val="center"/>
            <w:hideMark/>
          </w:tcPr>
          <w:p w14:paraId="10E16CD9" w14:textId="20911931" w:rsidR="00517075" w:rsidRPr="00517075" w:rsidRDefault="00517075" w:rsidP="0051707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517075">
              <w:rPr>
                <w:rFonts w:ascii="Trebuchet MS" w:eastAsia="Times New Roman" w:hAnsi="Trebuchet MS" w:cs="Times New Roman"/>
                <w:noProof/>
                <w:color w:val="686868"/>
                <w:sz w:val="21"/>
                <w:szCs w:val="21"/>
                <w:lang w:eastAsia="ru-RU"/>
              </w:rPr>
              <w:drawing>
                <wp:inline distT="0" distB="0" distL="0" distR="0" wp14:anchorId="09602C02" wp14:editId="109E362D">
                  <wp:extent cx="1264920" cy="1889760"/>
                  <wp:effectExtent l="0" t="0" r="0" b="0"/>
                  <wp:docPr id="742246141" name="Рисунок 1" descr="Изображение выглядит как линия, диаграмма, Шрифт, типо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246141" name="Рисунок 1" descr="Изображение выглядит как линия, диаграмма, Шрифт, типография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075" w:rsidRPr="00517075" w14:paraId="6DB09141" w14:textId="77777777" w:rsidTr="00517075">
        <w:trPr>
          <w:tblCellSpacing w:w="0" w:type="dxa"/>
          <w:jc w:val="center"/>
        </w:trPr>
        <w:tc>
          <w:tcPr>
            <w:tcW w:w="6345" w:type="dxa"/>
            <w:vAlign w:val="center"/>
            <w:hideMark/>
          </w:tcPr>
          <w:p w14:paraId="7580EA7C" w14:textId="77777777" w:rsidR="00517075" w:rsidRPr="00517075" w:rsidRDefault="00517075" w:rsidP="00517075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517075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br/>
              <w:t>Рис. 2.6. Резисторная цепь на выходе трансивера интерфейса, устраняющая неопределенное состояние линии и обеспечивающая ее согласование</w:t>
            </w:r>
          </w:p>
        </w:tc>
      </w:tr>
    </w:tbl>
    <w:p w14:paraId="0F4330F6" w14:textId="77777777" w:rsidR="0011087C" w:rsidRDefault="0011087C"/>
    <w:sectPr w:rsidR="00110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D65C6"/>
    <w:multiLevelType w:val="multilevel"/>
    <w:tmpl w:val="67E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11"/>
    <w:rsid w:val="0011087C"/>
    <w:rsid w:val="00517075"/>
    <w:rsid w:val="00964234"/>
    <w:rsid w:val="00B94011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40C6E"/>
  <w15:chartTrackingRefBased/>
  <w15:docId w15:val="{4463FC59-2BAD-4F32-83C7-FEBB66D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42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6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64234"/>
    <w:rPr>
      <w:i/>
      <w:iCs/>
    </w:rPr>
  </w:style>
  <w:style w:type="character" w:styleId="a5">
    <w:name w:val="Hyperlink"/>
    <w:basedOn w:val="a0"/>
    <w:uiPriority w:val="99"/>
    <w:unhideWhenUsed/>
    <w:rsid w:val="00964234"/>
    <w:rPr>
      <w:color w:val="0000FF"/>
      <w:u w:val="single"/>
    </w:rPr>
  </w:style>
  <w:style w:type="character" w:styleId="a6">
    <w:name w:val="Strong"/>
    <w:basedOn w:val="a0"/>
    <w:uiPriority w:val="22"/>
    <w:qFormat/>
    <w:rsid w:val="00964234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96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lab.ru/bookasutp/2-promishlennie-seti-i-interfeisi/2-3-interfeisi-rs-485-rs-422-i-rs-23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lab.ru/bookasutp/2-promishlennie-seti-i-interfeisi/2-3-interfeisi-rs-485-rs-422-i-rs-232/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s://www.reallab.ru/bookasutp/2-promishlennie-seti-i-interfeisi/2-3-interfeisi-rs-485-rs-422-i-rs-2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4ABB-97AC-4DAE-90BC-EDD33500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4</cp:revision>
  <dcterms:created xsi:type="dcterms:W3CDTF">2023-08-16T21:03:00Z</dcterms:created>
  <dcterms:modified xsi:type="dcterms:W3CDTF">2023-08-16T21:21:00Z</dcterms:modified>
</cp:coreProperties>
</file>