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71C" w:rsidRDefault="00AD6B20" w:rsidP="00AD6B20">
      <w:pPr>
        <w:jc w:val="center"/>
        <w:rPr>
          <w:b/>
          <w:sz w:val="40"/>
        </w:rPr>
      </w:pPr>
      <w:r w:rsidRPr="00AD6B20">
        <w:rPr>
          <w:b/>
          <w:sz w:val="40"/>
        </w:rPr>
        <w:t xml:space="preserve">Alexander </w:t>
      </w:r>
      <w:proofErr w:type="spellStart"/>
      <w:r w:rsidRPr="00AD6B20">
        <w:rPr>
          <w:b/>
          <w:sz w:val="40"/>
        </w:rPr>
        <w:t>Alexandrov</w:t>
      </w:r>
      <w:proofErr w:type="spellEnd"/>
      <w:r w:rsidRPr="00AD6B20">
        <w:rPr>
          <w:b/>
          <w:sz w:val="40"/>
        </w:rPr>
        <w:t xml:space="preserve"> </w:t>
      </w:r>
      <w:proofErr w:type="spellStart"/>
      <w:r w:rsidRPr="00AD6B20">
        <w:rPr>
          <w:b/>
          <w:sz w:val="40"/>
        </w:rPr>
        <w:t>Svilarov</w:t>
      </w:r>
      <w:proofErr w:type="spellEnd"/>
      <w:r w:rsidRPr="00AD6B20">
        <w:rPr>
          <w:b/>
          <w:sz w:val="40"/>
        </w:rPr>
        <w:t xml:space="preserve"> </w:t>
      </w:r>
      <w:r>
        <w:rPr>
          <w:b/>
          <w:sz w:val="40"/>
        </w:rPr>
        <w:t>–</w:t>
      </w:r>
      <w:r w:rsidRPr="00AD6B20">
        <w:rPr>
          <w:b/>
          <w:sz w:val="40"/>
        </w:rPr>
        <w:t xml:space="preserve"> 371223006</w:t>
      </w:r>
    </w:p>
    <w:p w:rsidR="00AD6B20" w:rsidRDefault="00AD6B20" w:rsidP="00AD6B20">
      <w:pPr>
        <w:jc w:val="center"/>
        <w:rPr>
          <w:b/>
          <w:sz w:val="40"/>
        </w:rPr>
      </w:pPr>
      <w:r>
        <w:rPr>
          <w:b/>
          <w:sz w:val="40"/>
        </w:rPr>
        <w:t>SMAD TASKS</w:t>
      </w:r>
    </w:p>
    <w:p w:rsidR="00AD6B20" w:rsidRPr="00AD6B20" w:rsidRDefault="00AD6B20" w:rsidP="00AD6B20">
      <w:pPr>
        <w:rPr>
          <w:sz w:val="40"/>
        </w:rPr>
      </w:pPr>
    </w:p>
    <w:p w:rsidR="00483CFF" w:rsidRPr="002C1D56" w:rsidRDefault="002C1D56" w:rsidP="00F61EFC">
      <w:pPr>
        <w:jc w:val="center"/>
        <w:rPr>
          <w:b/>
          <w:sz w:val="40"/>
          <w:u w:val="single"/>
        </w:rPr>
      </w:pPr>
      <w:r w:rsidRPr="002C1D56">
        <w:rPr>
          <w:b/>
          <w:sz w:val="40"/>
          <w:u w:val="single"/>
        </w:rPr>
        <w:t>Task 1</w:t>
      </w:r>
    </w:p>
    <w:p w:rsidR="00502085" w:rsidRPr="00502085" w:rsidRDefault="00502085" w:rsidP="00F61EFC">
      <w:pPr>
        <w:jc w:val="center"/>
        <w:rPr>
          <w:i/>
          <w:sz w:val="40"/>
        </w:rPr>
      </w:pPr>
      <w:r w:rsidRPr="00502085">
        <w:rPr>
          <w:i/>
          <w:sz w:val="40"/>
        </w:rPr>
        <w:t>1.1 Pareto Chart</w:t>
      </w:r>
    </w:p>
    <w:p w:rsidR="00AD6B20" w:rsidRDefault="00483CFF" w:rsidP="00AD6B20">
      <w:pPr>
        <w:rPr>
          <w:sz w:val="40"/>
        </w:rPr>
      </w:pPr>
      <w:r w:rsidRPr="00483CFF">
        <w:rPr>
          <w:noProof/>
          <w:sz w:val="40"/>
        </w:rPr>
        <w:drawing>
          <wp:inline distT="0" distB="0" distL="0" distR="0" wp14:anchorId="4159827B" wp14:editId="14D33295">
            <wp:extent cx="5972810" cy="2305685"/>
            <wp:effectExtent l="171450" t="171450" r="199390" b="2089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5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C1D56" w:rsidRDefault="002C1D56" w:rsidP="00AD6B20">
      <w:pPr>
        <w:rPr>
          <w:sz w:val="40"/>
        </w:rPr>
      </w:pPr>
    </w:p>
    <w:p w:rsidR="00483CFF" w:rsidRDefault="00502085" w:rsidP="00502085">
      <w:pPr>
        <w:jc w:val="center"/>
        <w:rPr>
          <w:i/>
          <w:sz w:val="40"/>
        </w:rPr>
      </w:pPr>
      <w:r w:rsidRPr="00502085">
        <w:rPr>
          <w:i/>
          <w:sz w:val="40"/>
        </w:rPr>
        <w:t>1.2 Table with additional columns</w:t>
      </w:r>
    </w:p>
    <w:p w:rsidR="00502085" w:rsidRDefault="00502085" w:rsidP="002C1D56">
      <w:pPr>
        <w:jc w:val="center"/>
        <w:rPr>
          <w:i/>
          <w:sz w:val="40"/>
        </w:rPr>
      </w:pPr>
      <w:r w:rsidRPr="00502085">
        <w:rPr>
          <w:i/>
          <w:noProof/>
          <w:sz w:val="40"/>
        </w:rPr>
        <w:drawing>
          <wp:inline distT="0" distB="0" distL="0" distR="0" wp14:anchorId="0A022F6D" wp14:editId="5F3D3F9F">
            <wp:extent cx="5972810" cy="1847850"/>
            <wp:effectExtent l="114300" t="114300" r="123190" b="152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47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02085" w:rsidRPr="00502085" w:rsidRDefault="00502085" w:rsidP="00472903">
      <w:pPr>
        <w:jc w:val="center"/>
        <w:rPr>
          <w:i/>
          <w:sz w:val="40"/>
        </w:rPr>
      </w:pPr>
      <w:r w:rsidRPr="00502085">
        <w:rPr>
          <w:i/>
          <w:sz w:val="40"/>
        </w:rPr>
        <w:lastRenderedPageBreak/>
        <w:t>1.3 Analysis</w:t>
      </w:r>
      <w:r w:rsidR="006B356F" w:rsidRPr="00502085">
        <w:rPr>
          <w:i/>
          <w:sz w:val="40"/>
        </w:rPr>
        <w:t xml:space="preserve">: </w:t>
      </w:r>
    </w:p>
    <w:p w:rsidR="002C1D56" w:rsidRDefault="006B356F" w:rsidP="000249F7">
      <w:pPr>
        <w:ind w:firstLine="720"/>
        <w:jc w:val="both"/>
        <w:rPr>
          <w:sz w:val="28"/>
        </w:rPr>
      </w:pPr>
      <w:r w:rsidRPr="00F61EFC">
        <w:rPr>
          <w:sz w:val="28"/>
        </w:rPr>
        <w:t xml:space="preserve">The Pareto chart analysis for the supermarket's losses reveals that </w:t>
      </w:r>
      <w:r w:rsidRPr="00ED1D20">
        <w:rPr>
          <w:b/>
          <w:sz w:val="28"/>
        </w:rPr>
        <w:t>cucumbers and tomatoes contribute the most to the losses</w:t>
      </w:r>
      <w:r w:rsidRPr="00F61EFC">
        <w:rPr>
          <w:sz w:val="28"/>
        </w:rPr>
        <w:t>, with cucumbers alone accounting for</w:t>
      </w:r>
      <w:r w:rsidR="00A27F09">
        <w:rPr>
          <w:sz w:val="28"/>
        </w:rPr>
        <w:t xml:space="preserve"> </w:t>
      </w:r>
      <w:r w:rsidR="00A27F09" w:rsidRPr="00A739F8">
        <w:rPr>
          <w:b/>
          <w:sz w:val="28"/>
        </w:rPr>
        <w:t>47,86%</w:t>
      </w:r>
      <w:r w:rsidRPr="00A739F8">
        <w:rPr>
          <w:b/>
          <w:sz w:val="28"/>
        </w:rPr>
        <w:t>.</w:t>
      </w:r>
      <w:r w:rsidRPr="00F61EFC">
        <w:rPr>
          <w:sz w:val="28"/>
        </w:rPr>
        <w:t xml:space="preserve"> These two items </w:t>
      </w:r>
      <w:r w:rsidR="00CF1606">
        <w:rPr>
          <w:sz w:val="28"/>
        </w:rPr>
        <w:t xml:space="preserve">though are </w:t>
      </w:r>
      <w:r w:rsidR="00CF1606" w:rsidRPr="00ED1D20">
        <w:rPr>
          <w:b/>
          <w:sz w:val="28"/>
        </w:rPr>
        <w:t>not enough</w:t>
      </w:r>
      <w:r w:rsidR="00CF1606">
        <w:rPr>
          <w:sz w:val="28"/>
        </w:rPr>
        <w:t xml:space="preserve"> for the</w:t>
      </w:r>
      <w:r w:rsidRPr="00F61EFC">
        <w:rPr>
          <w:sz w:val="28"/>
        </w:rPr>
        <w:t xml:space="preserve"> Pareto principle</w:t>
      </w:r>
      <w:r w:rsidR="00CF1606">
        <w:rPr>
          <w:sz w:val="28"/>
        </w:rPr>
        <w:t xml:space="preserve"> (80-20 rule) to be true about the data, because they combined make </w:t>
      </w:r>
      <w:r w:rsidR="00CF1606" w:rsidRPr="00A739F8">
        <w:rPr>
          <w:b/>
          <w:sz w:val="28"/>
        </w:rPr>
        <w:t>63,63%</w:t>
      </w:r>
      <w:r w:rsidR="00CF1606">
        <w:rPr>
          <w:sz w:val="28"/>
        </w:rPr>
        <w:t xml:space="preserve"> of the total losses (which is below the 80% threshold).</w:t>
      </w:r>
    </w:p>
    <w:p w:rsidR="000249F7" w:rsidRDefault="000249F7" w:rsidP="000249F7">
      <w:pPr>
        <w:ind w:firstLine="720"/>
        <w:jc w:val="both"/>
        <w:rPr>
          <w:sz w:val="28"/>
        </w:rPr>
      </w:pPr>
    </w:p>
    <w:p w:rsidR="00C95728" w:rsidRPr="002C1D56" w:rsidRDefault="00C95728" w:rsidP="00C95728">
      <w:pPr>
        <w:ind w:firstLine="720"/>
        <w:jc w:val="center"/>
        <w:rPr>
          <w:b/>
          <w:sz w:val="40"/>
          <w:u w:val="single"/>
        </w:rPr>
      </w:pPr>
      <w:r w:rsidRPr="002C1D56">
        <w:rPr>
          <w:b/>
          <w:sz w:val="40"/>
          <w:u w:val="single"/>
        </w:rPr>
        <w:t>Task 2</w:t>
      </w:r>
    </w:p>
    <w:p w:rsidR="00E5741F" w:rsidRDefault="00C95728" w:rsidP="00B64EA0">
      <w:pPr>
        <w:ind w:firstLine="720"/>
        <w:jc w:val="center"/>
        <w:rPr>
          <w:sz w:val="28"/>
        </w:rPr>
      </w:pPr>
      <w:r w:rsidRPr="00C95728">
        <w:rPr>
          <w:i/>
          <w:sz w:val="40"/>
        </w:rPr>
        <w:t>2.1 Histogram</w:t>
      </w:r>
    </w:p>
    <w:p w:rsidR="00C95728" w:rsidRDefault="00B273A4" w:rsidP="00B64EA0">
      <w:pPr>
        <w:ind w:firstLine="720"/>
        <w:jc w:val="center"/>
        <w:rPr>
          <w:i/>
          <w:sz w:val="40"/>
        </w:rPr>
      </w:pPr>
      <w:r w:rsidRPr="00B273A4">
        <w:rPr>
          <w:i/>
          <w:sz w:val="40"/>
        </w:rPr>
        <w:drawing>
          <wp:inline distT="0" distB="0" distL="0" distR="0" wp14:anchorId="531C7AB3" wp14:editId="2A67D27E">
            <wp:extent cx="4937760" cy="2973602"/>
            <wp:effectExtent l="114300" t="114300" r="148590" b="151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581" cy="2992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5741F" w:rsidRDefault="00E5741F" w:rsidP="00B64EA0">
      <w:pPr>
        <w:ind w:firstLine="720"/>
        <w:jc w:val="center"/>
        <w:rPr>
          <w:i/>
          <w:sz w:val="40"/>
        </w:rPr>
      </w:pPr>
      <w:r>
        <w:rPr>
          <w:i/>
          <w:sz w:val="40"/>
        </w:rPr>
        <w:t>2.2 Analysis</w:t>
      </w:r>
    </w:p>
    <w:p w:rsidR="000249F7" w:rsidRPr="000249F7" w:rsidRDefault="00E5741F" w:rsidP="000249F7">
      <w:pPr>
        <w:ind w:firstLine="720"/>
        <w:jc w:val="both"/>
        <w:rPr>
          <w:sz w:val="28"/>
        </w:rPr>
      </w:pPr>
      <w:r w:rsidRPr="00E5741F">
        <w:rPr>
          <w:sz w:val="28"/>
        </w:rPr>
        <w:t>The analysis of the axial runout data for magnetic</w:t>
      </w:r>
      <w:r w:rsidR="00FB215C">
        <w:rPr>
          <w:sz w:val="28"/>
        </w:rPr>
        <w:t xml:space="preserve"> disk blanks indicates that </w:t>
      </w:r>
      <w:r w:rsidR="00FB215C" w:rsidRPr="00ED1D20">
        <w:rPr>
          <w:b/>
          <w:sz w:val="28"/>
        </w:rPr>
        <w:t>all values</w:t>
      </w:r>
      <w:r w:rsidRPr="00ED1D20">
        <w:rPr>
          <w:b/>
          <w:sz w:val="28"/>
        </w:rPr>
        <w:t xml:space="preserve"> fall within the specified tolerance limits of -20 to 20</w:t>
      </w:r>
      <w:r w:rsidRPr="00E5741F">
        <w:rPr>
          <w:sz w:val="28"/>
        </w:rPr>
        <w:t xml:space="preserve">, suggesting </w:t>
      </w:r>
      <w:r w:rsidRPr="00ED1D20">
        <w:rPr>
          <w:b/>
          <w:sz w:val="28"/>
        </w:rPr>
        <w:t>good process control</w:t>
      </w:r>
      <w:r w:rsidRPr="00E5741F">
        <w:rPr>
          <w:sz w:val="28"/>
        </w:rPr>
        <w:t xml:space="preserve">. The distribution of values is roughly centered around the target value of 0, with a </w:t>
      </w:r>
      <w:r w:rsidRPr="00ED1D20">
        <w:rPr>
          <w:b/>
          <w:sz w:val="28"/>
        </w:rPr>
        <w:t>slight positive skew</w:t>
      </w:r>
      <w:r w:rsidR="00F234E7">
        <w:rPr>
          <w:b/>
          <w:sz w:val="28"/>
        </w:rPr>
        <w:t xml:space="preserve"> (0.163 to be precise)</w:t>
      </w:r>
      <w:r w:rsidRPr="00E5741F">
        <w:rPr>
          <w:sz w:val="28"/>
        </w:rPr>
        <w:t xml:space="preserve">, indicating that most measurements are within acceptable bounds with minimal variation. </w:t>
      </w:r>
    </w:p>
    <w:p w:rsidR="00F61EFC" w:rsidRPr="002C1D56" w:rsidRDefault="002C1D56" w:rsidP="002C1D56">
      <w:pPr>
        <w:ind w:firstLine="720"/>
        <w:jc w:val="center"/>
        <w:rPr>
          <w:b/>
          <w:sz w:val="40"/>
        </w:rPr>
      </w:pPr>
      <w:r w:rsidRPr="002C1D56">
        <w:rPr>
          <w:b/>
          <w:sz w:val="40"/>
        </w:rPr>
        <w:lastRenderedPageBreak/>
        <w:t>Task 3</w:t>
      </w:r>
    </w:p>
    <w:p w:rsidR="002C1D56" w:rsidRPr="002C1D56" w:rsidRDefault="002C1D56" w:rsidP="002C1D56">
      <w:pPr>
        <w:ind w:firstLine="720"/>
        <w:jc w:val="center"/>
        <w:rPr>
          <w:i/>
          <w:sz w:val="40"/>
        </w:rPr>
      </w:pPr>
      <w:r w:rsidRPr="002C1D56">
        <w:rPr>
          <w:i/>
          <w:sz w:val="40"/>
        </w:rPr>
        <w:t>3.1 Scatter plot</w:t>
      </w:r>
    </w:p>
    <w:p w:rsidR="002C1D56" w:rsidRDefault="004D0A1A" w:rsidP="00555D38">
      <w:pPr>
        <w:jc w:val="center"/>
        <w:rPr>
          <w:sz w:val="48"/>
        </w:rPr>
      </w:pPr>
      <w:r w:rsidRPr="004D0A1A">
        <w:rPr>
          <w:noProof/>
          <w:sz w:val="48"/>
        </w:rPr>
        <w:drawing>
          <wp:inline distT="0" distB="0" distL="0" distR="0" wp14:anchorId="1D418D25" wp14:editId="3B580D36">
            <wp:extent cx="5613621" cy="3404984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6216" cy="341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56" w:rsidRDefault="002C1D56" w:rsidP="002C1D56">
      <w:pPr>
        <w:jc w:val="center"/>
        <w:rPr>
          <w:i/>
          <w:sz w:val="40"/>
        </w:rPr>
      </w:pPr>
    </w:p>
    <w:p w:rsidR="002C1D56" w:rsidRDefault="002C1D56" w:rsidP="002C1D56">
      <w:pPr>
        <w:jc w:val="center"/>
        <w:rPr>
          <w:i/>
          <w:sz w:val="40"/>
        </w:rPr>
      </w:pPr>
      <w:r w:rsidRPr="002C1D56">
        <w:rPr>
          <w:i/>
          <w:sz w:val="40"/>
        </w:rPr>
        <w:t>3.2 Analysis</w:t>
      </w:r>
    </w:p>
    <w:p w:rsidR="00724417" w:rsidRPr="00DF5148" w:rsidRDefault="00724417" w:rsidP="00724417">
      <w:pPr>
        <w:ind w:firstLine="720"/>
        <w:jc w:val="both"/>
        <w:rPr>
          <w:b/>
          <w:sz w:val="24"/>
        </w:rPr>
      </w:pPr>
      <w:r>
        <w:rPr>
          <w:sz w:val="24"/>
        </w:rPr>
        <w:t>The</w:t>
      </w:r>
      <w:r w:rsidRPr="00724417">
        <w:rPr>
          <w:sz w:val="24"/>
        </w:rPr>
        <w:t xml:space="preserve"> scatter plot suggests a </w:t>
      </w:r>
      <w:r w:rsidRPr="00724417">
        <w:rPr>
          <w:b/>
          <w:sz w:val="24"/>
        </w:rPr>
        <w:t>moderate range</w:t>
      </w:r>
      <w:r w:rsidRPr="00724417">
        <w:rPr>
          <w:sz w:val="24"/>
        </w:rPr>
        <w:t xml:space="preserve"> of heights for both men and women. The </w:t>
      </w:r>
      <w:r w:rsidRPr="00724417">
        <w:rPr>
          <w:b/>
          <w:sz w:val="24"/>
        </w:rPr>
        <w:t>cluster</w:t>
      </w:r>
      <w:r w:rsidRPr="00724417">
        <w:rPr>
          <w:sz w:val="24"/>
        </w:rPr>
        <w:t xml:space="preserve"> between approximately 150-200 on the x-axis (man’s height) and 150-175 on the y-axis (woman’s height) implies that </w:t>
      </w:r>
      <w:r w:rsidRPr="00DF5148">
        <w:rPr>
          <w:b/>
          <w:sz w:val="24"/>
        </w:rPr>
        <w:t>most couples fall within this height range.</w:t>
      </w:r>
    </w:p>
    <w:p w:rsidR="00724417" w:rsidRPr="00724417" w:rsidRDefault="00724417" w:rsidP="00724417">
      <w:pPr>
        <w:jc w:val="both"/>
        <w:rPr>
          <w:sz w:val="24"/>
        </w:rPr>
      </w:pPr>
    </w:p>
    <w:p w:rsidR="00724417" w:rsidRPr="00724417" w:rsidRDefault="00724417" w:rsidP="00724417">
      <w:pPr>
        <w:ind w:firstLine="720"/>
        <w:jc w:val="both"/>
        <w:rPr>
          <w:sz w:val="24"/>
        </w:rPr>
      </w:pPr>
      <w:r w:rsidRPr="00724417">
        <w:rPr>
          <w:sz w:val="24"/>
        </w:rPr>
        <w:t xml:space="preserve">The data does </w:t>
      </w:r>
      <w:r w:rsidRPr="00DF5148">
        <w:rPr>
          <w:b/>
          <w:sz w:val="24"/>
        </w:rPr>
        <w:t>not show a strong linear correlation</w:t>
      </w:r>
      <w:r w:rsidRPr="00724417">
        <w:rPr>
          <w:sz w:val="24"/>
        </w:rPr>
        <w:t xml:space="preserve">, meaning there </w:t>
      </w:r>
      <w:r w:rsidRPr="00DF5148">
        <w:rPr>
          <w:b/>
          <w:sz w:val="24"/>
        </w:rPr>
        <w:t>isn’t a clear trend</w:t>
      </w:r>
      <w:r w:rsidRPr="00724417">
        <w:rPr>
          <w:sz w:val="24"/>
        </w:rPr>
        <w:t xml:space="preserve"> where taller men are always with taller women or vice versa. However, the clustering suggests that many couples have </w:t>
      </w:r>
      <w:r w:rsidRPr="00DF5148">
        <w:rPr>
          <w:b/>
          <w:sz w:val="24"/>
        </w:rPr>
        <w:t>similar height ranges</w:t>
      </w:r>
      <w:r w:rsidRPr="00724417">
        <w:rPr>
          <w:sz w:val="24"/>
        </w:rPr>
        <w:t>. This pattern might reflect social or personal preferences for partner height, though variability in the y-axis indicates some diversity in these preferences.</w:t>
      </w:r>
    </w:p>
    <w:p w:rsidR="00724417" w:rsidRDefault="00724417" w:rsidP="00724417">
      <w:pPr>
        <w:jc w:val="center"/>
        <w:rPr>
          <w:b/>
          <w:sz w:val="40"/>
        </w:rPr>
      </w:pPr>
    </w:p>
    <w:p w:rsidR="00F234E7" w:rsidRDefault="00F234E7" w:rsidP="00F358F6">
      <w:pPr>
        <w:jc w:val="center"/>
        <w:rPr>
          <w:b/>
          <w:sz w:val="40"/>
        </w:rPr>
      </w:pPr>
    </w:p>
    <w:p w:rsidR="00F358F6" w:rsidRDefault="00F358F6" w:rsidP="00F358F6">
      <w:pPr>
        <w:jc w:val="center"/>
        <w:rPr>
          <w:b/>
          <w:sz w:val="40"/>
        </w:rPr>
      </w:pPr>
      <w:r w:rsidRPr="00F358F6">
        <w:rPr>
          <w:b/>
          <w:sz w:val="40"/>
        </w:rPr>
        <w:lastRenderedPageBreak/>
        <w:t>Task 4</w:t>
      </w:r>
    </w:p>
    <w:p w:rsidR="00ED1D20" w:rsidRDefault="00F358F6" w:rsidP="00ED1D20">
      <w:pPr>
        <w:jc w:val="center"/>
        <w:rPr>
          <w:i/>
          <w:sz w:val="40"/>
        </w:rPr>
      </w:pPr>
      <w:r w:rsidRPr="00F358F6">
        <w:rPr>
          <w:i/>
          <w:sz w:val="40"/>
        </w:rPr>
        <w:t>4.1</w:t>
      </w:r>
      <w:r>
        <w:rPr>
          <w:i/>
          <w:sz w:val="40"/>
        </w:rPr>
        <w:t xml:space="preserve"> </w:t>
      </w:r>
      <w:r w:rsidR="00B965E1" w:rsidRPr="00B965E1">
        <w:rPr>
          <w:i/>
          <w:sz w:val="40"/>
        </w:rPr>
        <w:t>X-bar and Range control chart</w:t>
      </w:r>
    </w:p>
    <w:p w:rsidR="00DF5148" w:rsidRPr="00B965E1" w:rsidRDefault="00DF5148" w:rsidP="00ED1D20">
      <w:pPr>
        <w:jc w:val="center"/>
        <w:rPr>
          <w:i/>
          <w:sz w:val="40"/>
        </w:rPr>
      </w:pPr>
    </w:p>
    <w:p w:rsidR="00F358F6" w:rsidRDefault="00CC094B" w:rsidP="00F358F6">
      <w:pPr>
        <w:jc w:val="center"/>
        <w:rPr>
          <w:i/>
          <w:sz w:val="40"/>
        </w:rPr>
      </w:pPr>
      <w:r w:rsidRPr="00CC094B">
        <w:rPr>
          <w:i/>
          <w:sz w:val="40"/>
        </w:rPr>
        <w:drawing>
          <wp:inline distT="0" distB="0" distL="0" distR="0" wp14:anchorId="61C6C081" wp14:editId="3EBF9BE7">
            <wp:extent cx="5972810" cy="31051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4B" w:rsidRDefault="00CC094B" w:rsidP="00F358F6">
      <w:pPr>
        <w:jc w:val="center"/>
        <w:rPr>
          <w:i/>
          <w:sz w:val="40"/>
        </w:rPr>
      </w:pPr>
      <w:r w:rsidRPr="00CC094B">
        <w:rPr>
          <w:i/>
          <w:sz w:val="40"/>
        </w:rPr>
        <w:drawing>
          <wp:inline distT="0" distB="0" distL="0" distR="0" wp14:anchorId="42736C4C" wp14:editId="772DE296">
            <wp:extent cx="5972810" cy="31242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4B" w:rsidRDefault="00CC094B" w:rsidP="0088352D">
      <w:pPr>
        <w:jc w:val="center"/>
        <w:rPr>
          <w:i/>
          <w:sz w:val="40"/>
        </w:rPr>
      </w:pPr>
    </w:p>
    <w:p w:rsidR="0088352D" w:rsidRDefault="00B965E1" w:rsidP="0088352D">
      <w:pPr>
        <w:jc w:val="center"/>
        <w:rPr>
          <w:i/>
          <w:sz w:val="40"/>
        </w:rPr>
      </w:pPr>
      <w:r>
        <w:rPr>
          <w:i/>
          <w:sz w:val="40"/>
        </w:rPr>
        <w:lastRenderedPageBreak/>
        <w:t>4.2 Analysis</w:t>
      </w:r>
    </w:p>
    <w:p w:rsidR="008C23D3" w:rsidRDefault="00CC094B" w:rsidP="008C23D3">
      <w:pPr>
        <w:ind w:firstLine="720"/>
        <w:jc w:val="both"/>
        <w:rPr>
          <w:sz w:val="24"/>
        </w:rPr>
      </w:pPr>
      <w:r w:rsidRPr="00CC094B">
        <w:rPr>
          <w:sz w:val="24"/>
        </w:rPr>
        <w:t xml:space="preserve"> In the </w:t>
      </w:r>
      <w:r w:rsidRPr="008C23D3">
        <w:rPr>
          <w:b/>
          <w:sz w:val="24"/>
        </w:rPr>
        <w:t>X-bar chart</w:t>
      </w:r>
      <w:r w:rsidR="008C23D3">
        <w:rPr>
          <w:sz w:val="24"/>
        </w:rPr>
        <w:t xml:space="preserve"> shown above</w:t>
      </w:r>
      <w:r w:rsidRPr="00CC094B">
        <w:rPr>
          <w:sz w:val="24"/>
        </w:rPr>
        <w:t xml:space="preserve">, a single point (around point 18) </w:t>
      </w:r>
      <w:r w:rsidRPr="00010859">
        <w:rPr>
          <w:b/>
          <w:sz w:val="24"/>
        </w:rPr>
        <w:t>exceeds the upper control limit</w:t>
      </w:r>
      <w:r w:rsidRPr="00CC094B">
        <w:rPr>
          <w:sz w:val="24"/>
        </w:rPr>
        <w:t xml:space="preserve"> (three sigma), indicating a potential </w:t>
      </w:r>
      <w:r w:rsidRPr="008C23D3">
        <w:rPr>
          <w:b/>
          <w:sz w:val="24"/>
        </w:rPr>
        <w:t>out-of-control situation</w:t>
      </w:r>
      <w:r w:rsidR="008C23D3">
        <w:rPr>
          <w:b/>
          <w:sz w:val="24"/>
        </w:rPr>
        <w:t xml:space="preserve"> and unstable process</w:t>
      </w:r>
      <w:r w:rsidRPr="00CC094B">
        <w:rPr>
          <w:sz w:val="24"/>
        </w:rPr>
        <w:t xml:space="preserve">. This suggests a </w:t>
      </w:r>
      <w:r w:rsidRPr="00010859">
        <w:rPr>
          <w:b/>
          <w:sz w:val="24"/>
        </w:rPr>
        <w:t>significant</w:t>
      </w:r>
      <w:r w:rsidRPr="00CC094B">
        <w:rPr>
          <w:sz w:val="24"/>
        </w:rPr>
        <w:t xml:space="preserve"> </w:t>
      </w:r>
      <w:r w:rsidRPr="00010859">
        <w:rPr>
          <w:b/>
          <w:sz w:val="24"/>
        </w:rPr>
        <w:t>variation</w:t>
      </w:r>
      <w:r w:rsidRPr="00CC094B">
        <w:rPr>
          <w:sz w:val="24"/>
        </w:rPr>
        <w:t xml:space="preserve"> in th</w:t>
      </w:r>
      <w:r>
        <w:rPr>
          <w:sz w:val="24"/>
        </w:rPr>
        <w:t>e process mean for that sample.</w:t>
      </w:r>
      <w:r w:rsidR="008C23D3">
        <w:rPr>
          <w:sz w:val="24"/>
        </w:rPr>
        <w:t xml:space="preserve"> </w:t>
      </w:r>
    </w:p>
    <w:p w:rsidR="008070B2" w:rsidRPr="00CC094B" w:rsidRDefault="00CC094B" w:rsidP="008C23D3">
      <w:pPr>
        <w:ind w:firstLine="720"/>
        <w:jc w:val="both"/>
        <w:rPr>
          <w:sz w:val="24"/>
        </w:rPr>
      </w:pPr>
      <w:r w:rsidRPr="00CC094B">
        <w:rPr>
          <w:sz w:val="24"/>
        </w:rPr>
        <w:t xml:space="preserve">In the </w:t>
      </w:r>
      <w:r w:rsidRPr="00010859">
        <w:rPr>
          <w:b/>
          <w:sz w:val="24"/>
        </w:rPr>
        <w:t>Range chart</w:t>
      </w:r>
      <w:r w:rsidRPr="00CC094B">
        <w:rPr>
          <w:sz w:val="24"/>
        </w:rPr>
        <w:t xml:space="preserve">, a similar point </w:t>
      </w:r>
      <w:r w:rsidRPr="00010859">
        <w:rPr>
          <w:b/>
          <w:sz w:val="24"/>
        </w:rPr>
        <w:t>exceeds the upper control limit</w:t>
      </w:r>
      <w:r w:rsidRPr="00CC094B">
        <w:rPr>
          <w:sz w:val="24"/>
        </w:rPr>
        <w:t xml:space="preserve"> (also around point 18), which suggests an unusual </w:t>
      </w:r>
      <w:r w:rsidRPr="00010859">
        <w:rPr>
          <w:b/>
          <w:sz w:val="24"/>
        </w:rPr>
        <w:t>increase</w:t>
      </w:r>
      <w:r w:rsidRPr="00CC094B">
        <w:rPr>
          <w:sz w:val="24"/>
        </w:rPr>
        <w:t xml:space="preserve"> </w:t>
      </w:r>
      <w:r w:rsidRPr="00010859">
        <w:rPr>
          <w:b/>
          <w:sz w:val="24"/>
        </w:rPr>
        <w:t>in process variation</w:t>
      </w:r>
      <w:r w:rsidRPr="00CC094B">
        <w:rPr>
          <w:sz w:val="24"/>
        </w:rPr>
        <w:t>. This point's align</w:t>
      </w:r>
      <w:r w:rsidR="00010859">
        <w:rPr>
          <w:sz w:val="24"/>
        </w:rPr>
        <w:t xml:space="preserve">ment in both charts indicates an effect </w:t>
      </w:r>
      <w:r w:rsidRPr="00CC094B">
        <w:rPr>
          <w:sz w:val="24"/>
        </w:rPr>
        <w:t>that affects both the process average and variability simultaneously, possibly due to an external or assignabl</w:t>
      </w:r>
      <w:r>
        <w:rPr>
          <w:sz w:val="24"/>
        </w:rPr>
        <w:t>e factor affecting this sample.</w:t>
      </w:r>
      <w:bookmarkStart w:id="0" w:name="_GoBack"/>
      <w:bookmarkEnd w:id="0"/>
    </w:p>
    <w:sectPr w:rsidR="008070B2" w:rsidRPr="00CC094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20"/>
    <w:rsid w:val="00010859"/>
    <w:rsid w:val="000249F7"/>
    <w:rsid w:val="001630AC"/>
    <w:rsid w:val="002C1D56"/>
    <w:rsid w:val="00431E09"/>
    <w:rsid w:val="00472903"/>
    <w:rsid w:val="00483CFF"/>
    <w:rsid w:val="004B0B75"/>
    <w:rsid w:val="004D0A1A"/>
    <w:rsid w:val="00502085"/>
    <w:rsid w:val="00555D38"/>
    <w:rsid w:val="005938FC"/>
    <w:rsid w:val="00613EF5"/>
    <w:rsid w:val="006B356F"/>
    <w:rsid w:val="00724417"/>
    <w:rsid w:val="008070B2"/>
    <w:rsid w:val="0088352D"/>
    <w:rsid w:val="008C23D3"/>
    <w:rsid w:val="00A27F09"/>
    <w:rsid w:val="00A739F8"/>
    <w:rsid w:val="00AD6B20"/>
    <w:rsid w:val="00B273A4"/>
    <w:rsid w:val="00B64EA0"/>
    <w:rsid w:val="00B965E1"/>
    <w:rsid w:val="00BD6916"/>
    <w:rsid w:val="00C95728"/>
    <w:rsid w:val="00CC094B"/>
    <w:rsid w:val="00CF1606"/>
    <w:rsid w:val="00DF5148"/>
    <w:rsid w:val="00E403BD"/>
    <w:rsid w:val="00E5741F"/>
    <w:rsid w:val="00ED1D20"/>
    <w:rsid w:val="00F234E7"/>
    <w:rsid w:val="00F358F6"/>
    <w:rsid w:val="00F61EFC"/>
    <w:rsid w:val="00FB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C495"/>
  <w15:chartTrackingRefBased/>
  <w15:docId w15:val="{A7EDD6CE-36ED-4B22-A9B8-7B61ABC8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7</cp:revision>
  <dcterms:created xsi:type="dcterms:W3CDTF">2024-11-12T16:03:00Z</dcterms:created>
  <dcterms:modified xsi:type="dcterms:W3CDTF">2024-11-15T19:26:00Z</dcterms:modified>
</cp:coreProperties>
</file>