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38E51" w14:textId="493D8B91" w:rsidR="000F5944" w:rsidRPr="000F5944" w:rsidRDefault="000F5944" w:rsidP="000F5944">
      <w:pPr>
        <w:pStyle w:val="Ttulo1"/>
        <w:spacing w:after="240"/>
        <w:jc w:val="center"/>
        <w:rPr>
          <w:b/>
          <w:bCs/>
          <w:color w:val="auto"/>
          <w:sz w:val="28"/>
          <w:szCs w:val="28"/>
          <w:u w:val="single"/>
          <w:lang w:val="es-PE"/>
        </w:rPr>
      </w:pPr>
      <w:r w:rsidRPr="000F5944">
        <w:rPr>
          <w:b/>
          <w:bCs/>
          <w:color w:val="auto"/>
          <w:sz w:val="28"/>
          <w:szCs w:val="28"/>
          <w:u w:val="single"/>
          <w:lang w:val="es-PE"/>
        </w:rPr>
        <w:t xml:space="preserve">El </w:t>
      </w:r>
      <w:r w:rsidR="007F15CA">
        <w:rPr>
          <w:b/>
          <w:bCs/>
          <w:color w:val="auto"/>
          <w:sz w:val="28"/>
          <w:szCs w:val="28"/>
          <w:u w:val="single"/>
          <w:lang w:val="es-PE"/>
        </w:rPr>
        <w:t xml:space="preserve">efecto del </w:t>
      </w:r>
      <w:r w:rsidRPr="000F5944">
        <w:rPr>
          <w:b/>
          <w:bCs/>
          <w:color w:val="auto"/>
          <w:sz w:val="28"/>
          <w:szCs w:val="28"/>
          <w:u w:val="single"/>
          <w:lang w:val="es-PE"/>
        </w:rPr>
        <w:t>gasto público en la economía</w:t>
      </w:r>
      <w:r w:rsidR="00D976A9">
        <w:rPr>
          <w:b/>
          <w:bCs/>
          <w:color w:val="auto"/>
          <w:sz w:val="28"/>
          <w:szCs w:val="28"/>
          <w:u w:val="single"/>
          <w:lang w:val="es-PE"/>
        </w:rPr>
        <w:t xml:space="preserve"> peruana</w:t>
      </w:r>
    </w:p>
    <w:p w14:paraId="2FFB13C1" w14:textId="65C4A15E" w:rsidR="006C30B5" w:rsidRDefault="006C30B5" w:rsidP="009D346D">
      <w:pPr>
        <w:jc w:val="both"/>
        <w:rPr>
          <w:b/>
          <w:sz w:val="20"/>
          <w:szCs w:val="20"/>
          <w:lang w:val="es-PE"/>
        </w:rPr>
      </w:pPr>
      <w:r>
        <w:rPr>
          <w:b/>
          <w:sz w:val="20"/>
          <w:szCs w:val="20"/>
          <w:lang w:val="es-PE"/>
        </w:rPr>
        <w:t>Autor: Alexander Max Tello Fuentes</w:t>
      </w:r>
    </w:p>
    <w:p w14:paraId="508D06ED" w14:textId="4095055A" w:rsidR="001240E8" w:rsidRPr="000F5944" w:rsidRDefault="009D346D" w:rsidP="009D346D">
      <w:pPr>
        <w:jc w:val="both"/>
        <w:rPr>
          <w:sz w:val="20"/>
          <w:szCs w:val="20"/>
          <w:lang w:val="es-PE"/>
        </w:rPr>
      </w:pPr>
      <w:r w:rsidRPr="000F5944">
        <w:rPr>
          <w:b/>
          <w:sz w:val="20"/>
          <w:szCs w:val="20"/>
          <w:lang w:val="es-PE"/>
        </w:rPr>
        <w:t xml:space="preserve">El gasto público es el desembolso de dinero que realiza el sector público para obtener bienes y servicios, y es una de las variables </w:t>
      </w:r>
      <w:r w:rsidR="00F26541" w:rsidRPr="000F5944">
        <w:rPr>
          <w:b/>
          <w:sz w:val="20"/>
          <w:szCs w:val="20"/>
          <w:lang w:val="es-PE"/>
        </w:rPr>
        <w:t>más utilizadas para analizar la participación del sector público en la economía</w:t>
      </w:r>
      <w:r w:rsidRPr="000F5944">
        <w:rPr>
          <w:sz w:val="20"/>
          <w:szCs w:val="20"/>
          <w:lang w:val="es-PE"/>
        </w:rPr>
        <w:t>.</w:t>
      </w:r>
      <w:r w:rsidR="00622080" w:rsidRPr="000F5944">
        <w:rPr>
          <w:sz w:val="20"/>
          <w:szCs w:val="20"/>
          <w:lang w:val="es-PE"/>
        </w:rPr>
        <w:t xml:space="preserve"> </w:t>
      </w:r>
      <w:r w:rsidR="00003CE4" w:rsidRPr="000F5944">
        <w:rPr>
          <w:sz w:val="20"/>
          <w:szCs w:val="20"/>
          <w:lang w:val="es-PE"/>
        </w:rPr>
        <w:t>Para el Perú</w:t>
      </w:r>
      <w:r w:rsidR="00622080" w:rsidRPr="000F5944">
        <w:rPr>
          <w:sz w:val="20"/>
          <w:szCs w:val="20"/>
          <w:lang w:val="es-PE"/>
        </w:rPr>
        <w:t xml:space="preserve">, el gasto público del gobierno general </w:t>
      </w:r>
      <w:r w:rsidR="00003CE4" w:rsidRPr="000F5944">
        <w:rPr>
          <w:sz w:val="20"/>
          <w:szCs w:val="20"/>
          <w:lang w:val="es-PE"/>
        </w:rPr>
        <w:t xml:space="preserve">en millones de soles </w:t>
      </w:r>
      <w:r w:rsidR="00622080" w:rsidRPr="000F5944">
        <w:rPr>
          <w:sz w:val="20"/>
          <w:szCs w:val="20"/>
          <w:lang w:val="es-PE"/>
        </w:rPr>
        <w:t xml:space="preserve">tiene una tendencia creciente, lo que reflejaría el mayor </w:t>
      </w:r>
      <w:r w:rsidR="001240E8" w:rsidRPr="000F5944">
        <w:rPr>
          <w:sz w:val="20"/>
          <w:szCs w:val="20"/>
          <w:lang w:val="es-PE"/>
        </w:rPr>
        <w:t>esfuerzo del sector público</w:t>
      </w:r>
      <w:r w:rsidR="00622080" w:rsidRPr="000F5944">
        <w:rPr>
          <w:sz w:val="20"/>
          <w:szCs w:val="20"/>
          <w:lang w:val="es-PE"/>
        </w:rPr>
        <w:t xml:space="preserve"> en adquirir bienes y servicios para la ciudadanía. </w:t>
      </w:r>
      <w:r w:rsidR="00003CE4" w:rsidRPr="000F5944">
        <w:rPr>
          <w:sz w:val="20"/>
          <w:szCs w:val="20"/>
          <w:lang w:val="es-PE"/>
        </w:rPr>
        <w:t xml:space="preserve">Asimismo, </w:t>
      </w:r>
      <w:r w:rsidR="00622080" w:rsidRPr="000F5944">
        <w:rPr>
          <w:sz w:val="20"/>
          <w:szCs w:val="20"/>
          <w:lang w:val="es-PE"/>
        </w:rPr>
        <w:t xml:space="preserve">en </w:t>
      </w:r>
      <w:r w:rsidR="00003CE4" w:rsidRPr="000F5944">
        <w:rPr>
          <w:sz w:val="20"/>
          <w:szCs w:val="20"/>
          <w:lang w:val="es-PE"/>
        </w:rPr>
        <w:t>proporción del</w:t>
      </w:r>
      <w:r w:rsidR="00622080" w:rsidRPr="000F5944">
        <w:rPr>
          <w:sz w:val="20"/>
          <w:szCs w:val="20"/>
          <w:lang w:val="es-PE"/>
        </w:rPr>
        <w:t xml:space="preserve"> PBI, el gasto público </w:t>
      </w:r>
      <w:r w:rsidR="00003CE4" w:rsidRPr="000F5944">
        <w:rPr>
          <w:sz w:val="20"/>
          <w:szCs w:val="20"/>
          <w:lang w:val="es-PE"/>
        </w:rPr>
        <w:t>presenta un</w:t>
      </w:r>
      <w:r w:rsidR="00BF45F8" w:rsidRPr="000F5944">
        <w:rPr>
          <w:sz w:val="20"/>
          <w:szCs w:val="20"/>
          <w:lang w:val="es-PE"/>
        </w:rPr>
        <w:t xml:space="preserve"> crecimiento más leve</w:t>
      </w:r>
      <w:r w:rsidR="00003CE4" w:rsidRPr="000F5944">
        <w:rPr>
          <w:sz w:val="20"/>
          <w:szCs w:val="20"/>
          <w:lang w:val="es-PE"/>
        </w:rPr>
        <w:t xml:space="preserve">, aumentando </w:t>
      </w:r>
      <w:r w:rsidR="00BF45F8" w:rsidRPr="000F5944">
        <w:rPr>
          <w:sz w:val="20"/>
          <w:szCs w:val="20"/>
          <w:lang w:val="es-PE"/>
        </w:rPr>
        <w:t>3% del PBI entre el 2006 y 2019</w:t>
      </w:r>
      <w:r w:rsidR="00FA6EC4" w:rsidRPr="000F5944">
        <w:rPr>
          <w:sz w:val="20"/>
          <w:szCs w:val="20"/>
          <w:lang w:val="es-PE"/>
        </w:rPr>
        <w:t xml:space="preserve">. </w:t>
      </w:r>
      <w:r w:rsidR="00003CE4" w:rsidRPr="000F5944">
        <w:rPr>
          <w:sz w:val="20"/>
          <w:szCs w:val="20"/>
          <w:lang w:val="es-PE"/>
        </w:rPr>
        <w:t xml:space="preserve">Ello evidenciaría que a lo largo del </w:t>
      </w:r>
      <w:r w:rsidR="00FB44B9">
        <w:rPr>
          <w:sz w:val="20"/>
          <w:szCs w:val="20"/>
          <w:lang w:val="es-PE"/>
        </w:rPr>
        <w:t xml:space="preserve">este periodo </w:t>
      </w:r>
      <w:r w:rsidR="00003CE4" w:rsidRPr="000F5944">
        <w:rPr>
          <w:sz w:val="20"/>
          <w:szCs w:val="20"/>
          <w:lang w:val="es-PE"/>
        </w:rPr>
        <w:t xml:space="preserve">la participación del sector público en la economía sería en promedio 20%. </w:t>
      </w:r>
      <w:r w:rsidR="00CB73EB" w:rsidRPr="000F5944">
        <w:rPr>
          <w:sz w:val="20"/>
          <w:szCs w:val="20"/>
          <w:lang w:val="es-PE"/>
        </w:rPr>
        <w:t>Cabe resaltar, que, en 2020 la participación del gobierno se incrementó excepcionalmente a un 25% del PBI</w:t>
      </w:r>
      <w:r w:rsidR="00FA6EC4" w:rsidRPr="000F5944">
        <w:rPr>
          <w:sz w:val="20"/>
          <w:szCs w:val="20"/>
          <w:lang w:val="es-PE"/>
        </w:rPr>
        <w:t xml:space="preserve"> para dar el soporte necesario</w:t>
      </w:r>
      <w:r w:rsidR="001240E8" w:rsidRPr="000F5944">
        <w:rPr>
          <w:sz w:val="20"/>
          <w:szCs w:val="20"/>
          <w:lang w:val="es-PE"/>
        </w:rPr>
        <w:t xml:space="preserve"> a la economía. </w:t>
      </w:r>
    </w:p>
    <w:p w14:paraId="4D4F9B85" w14:textId="6264AD1E" w:rsidR="00142DEE" w:rsidRPr="000F5944" w:rsidRDefault="00CB73EB" w:rsidP="009D346D">
      <w:pPr>
        <w:jc w:val="both"/>
        <w:rPr>
          <w:sz w:val="20"/>
          <w:szCs w:val="20"/>
          <w:lang w:val="es-PE"/>
        </w:rPr>
      </w:pPr>
      <w:r w:rsidRPr="000F5944">
        <w:rPr>
          <w:b/>
          <w:sz w:val="20"/>
          <w:szCs w:val="20"/>
          <w:lang w:val="es-PE"/>
        </w:rPr>
        <w:t xml:space="preserve">¿Cuál debería ser la </w:t>
      </w:r>
      <w:r w:rsidR="00142DEE" w:rsidRPr="000F5944">
        <w:rPr>
          <w:b/>
          <w:sz w:val="20"/>
          <w:szCs w:val="20"/>
          <w:lang w:val="es-PE"/>
        </w:rPr>
        <w:t>participación del sector público en la economía peruana</w:t>
      </w:r>
      <w:r w:rsidRPr="000F5944">
        <w:rPr>
          <w:b/>
          <w:sz w:val="20"/>
          <w:szCs w:val="20"/>
          <w:lang w:val="es-PE"/>
        </w:rPr>
        <w:t>?</w:t>
      </w:r>
      <w:r w:rsidR="00142DEE" w:rsidRPr="000F5944">
        <w:rPr>
          <w:b/>
          <w:sz w:val="20"/>
          <w:szCs w:val="20"/>
          <w:lang w:val="es-PE"/>
        </w:rPr>
        <w:t xml:space="preserve"> no existe una métrica definida que nos indique qué tan amplía debe ser </w:t>
      </w:r>
      <w:r w:rsidR="00CE1377">
        <w:rPr>
          <w:b/>
          <w:sz w:val="20"/>
          <w:szCs w:val="20"/>
          <w:lang w:val="es-PE"/>
        </w:rPr>
        <w:t>esta participación</w:t>
      </w:r>
      <w:r w:rsidR="00142DEE" w:rsidRPr="000F5944">
        <w:rPr>
          <w:sz w:val="20"/>
          <w:szCs w:val="20"/>
          <w:lang w:val="es-PE"/>
        </w:rPr>
        <w:t xml:space="preserve">. </w:t>
      </w:r>
      <w:r w:rsidRPr="000F5944">
        <w:rPr>
          <w:sz w:val="20"/>
          <w:szCs w:val="20"/>
          <w:lang w:val="es-PE"/>
        </w:rPr>
        <w:t>Ello</w:t>
      </w:r>
      <w:r w:rsidR="00142DEE" w:rsidRPr="000F5944">
        <w:rPr>
          <w:sz w:val="20"/>
          <w:szCs w:val="20"/>
          <w:lang w:val="es-PE"/>
        </w:rPr>
        <w:t xml:space="preserve"> depende de varios aspectos como el ideológico, </w:t>
      </w:r>
      <w:r w:rsidR="00FB44B9">
        <w:rPr>
          <w:sz w:val="20"/>
          <w:szCs w:val="20"/>
          <w:lang w:val="es-PE"/>
        </w:rPr>
        <w:t>el</w:t>
      </w:r>
      <w:r w:rsidR="00142DEE" w:rsidRPr="000F5944">
        <w:rPr>
          <w:sz w:val="20"/>
          <w:szCs w:val="20"/>
          <w:lang w:val="es-PE"/>
        </w:rPr>
        <w:t xml:space="preserve"> demográfico y </w:t>
      </w:r>
      <w:r w:rsidR="00FB44B9">
        <w:rPr>
          <w:sz w:val="20"/>
          <w:szCs w:val="20"/>
          <w:lang w:val="es-PE"/>
        </w:rPr>
        <w:t>el</w:t>
      </w:r>
      <w:r w:rsidR="00142DEE" w:rsidRPr="000F5944">
        <w:rPr>
          <w:sz w:val="20"/>
          <w:szCs w:val="20"/>
          <w:lang w:val="es-PE"/>
        </w:rPr>
        <w:t xml:space="preserve"> económico</w:t>
      </w:r>
      <w:r w:rsidRPr="000F5944">
        <w:rPr>
          <w:rStyle w:val="Refdenotaalpie"/>
          <w:sz w:val="20"/>
          <w:szCs w:val="20"/>
          <w:lang w:val="es-PE"/>
        </w:rPr>
        <w:footnoteReference w:id="1"/>
      </w:r>
      <w:r w:rsidR="00142DEE" w:rsidRPr="000F5944">
        <w:rPr>
          <w:sz w:val="20"/>
          <w:szCs w:val="20"/>
          <w:lang w:val="es-PE"/>
        </w:rPr>
        <w:t xml:space="preserve">. </w:t>
      </w:r>
      <w:r w:rsidR="00756D88" w:rsidRPr="000F5944">
        <w:rPr>
          <w:sz w:val="20"/>
          <w:szCs w:val="20"/>
          <w:lang w:val="es-PE"/>
        </w:rPr>
        <w:t>De acuerdo con la teoría económica de la Ley de Wagner</w:t>
      </w:r>
      <w:r w:rsidR="00756D88" w:rsidRPr="000F5944">
        <w:rPr>
          <w:rStyle w:val="Refdenotaalpie"/>
          <w:sz w:val="20"/>
          <w:szCs w:val="20"/>
          <w:lang w:val="es-PE"/>
        </w:rPr>
        <w:footnoteReference w:id="2"/>
      </w:r>
      <w:r w:rsidR="00756D88" w:rsidRPr="000F5944">
        <w:rPr>
          <w:sz w:val="20"/>
          <w:szCs w:val="20"/>
          <w:lang w:val="es-PE"/>
        </w:rPr>
        <w:t xml:space="preserve">, el nivel de desarrollo económico medido como el PBI percápita nos puede dar una señal de cuánto debería ser la participación del gobierno. Así, para el año 2019, </w:t>
      </w:r>
      <w:r w:rsidR="00CE1377">
        <w:rPr>
          <w:sz w:val="20"/>
          <w:szCs w:val="20"/>
          <w:lang w:val="es-PE"/>
        </w:rPr>
        <w:t>se representa</w:t>
      </w:r>
      <w:r w:rsidR="00BF50D7" w:rsidRPr="000F5944">
        <w:rPr>
          <w:sz w:val="20"/>
          <w:szCs w:val="20"/>
          <w:lang w:val="es-PE"/>
        </w:rPr>
        <w:t xml:space="preserve"> el nivel de gasto público en porcentaje del PBI para América Latina y el PBI percápita correspondiente de cada país. </w:t>
      </w:r>
      <w:r w:rsidR="000F5944" w:rsidRPr="000F5944">
        <w:rPr>
          <w:sz w:val="20"/>
          <w:szCs w:val="20"/>
          <w:lang w:val="es-PE"/>
        </w:rPr>
        <w:t>La tendencia de este gráfico indicaría el nivel apropiado de gasto público correspondiente a un nivel de PBI percápita</w:t>
      </w:r>
      <w:r w:rsidR="00D976A9">
        <w:rPr>
          <w:sz w:val="20"/>
          <w:szCs w:val="20"/>
          <w:lang w:val="es-PE"/>
        </w:rPr>
        <w:t xml:space="preserve"> para algún país de la región</w:t>
      </w:r>
      <w:r w:rsidR="000F5944" w:rsidRPr="000F5944">
        <w:rPr>
          <w:sz w:val="20"/>
          <w:szCs w:val="20"/>
          <w:lang w:val="es-PE"/>
        </w:rPr>
        <w:t>. En ese sentido, Perú presenta un gasto ligeramente por debajo de la tendencia, lo que indica</w:t>
      </w:r>
      <w:r w:rsidR="00D976A9">
        <w:rPr>
          <w:sz w:val="20"/>
          <w:szCs w:val="20"/>
          <w:lang w:val="es-PE"/>
        </w:rPr>
        <w:t xml:space="preserve"> que la participación del sector público debería incrementarse un poco más para proveer bienes y servicios acorde con el nivel de desarrollo económico del país.  </w:t>
      </w:r>
      <w:r w:rsidR="000F5944" w:rsidRPr="000F5944">
        <w:rPr>
          <w:sz w:val="20"/>
          <w:szCs w:val="20"/>
          <w:lang w:val="es-PE"/>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600430" w:rsidRPr="00003CE4" w14:paraId="42DFA177" w14:textId="77777777" w:rsidTr="002936A4">
        <w:trPr>
          <w:jc w:val="center"/>
        </w:trPr>
        <w:tc>
          <w:tcPr>
            <w:tcW w:w="4414" w:type="dxa"/>
          </w:tcPr>
          <w:p w14:paraId="1A76F05D" w14:textId="50F04A4C" w:rsidR="00142DEE" w:rsidRDefault="00142DEE" w:rsidP="00CE0969">
            <w:pPr>
              <w:jc w:val="center"/>
              <w:rPr>
                <w:b/>
                <w:sz w:val="20"/>
                <w:szCs w:val="20"/>
                <w:lang w:val="es-PE"/>
              </w:rPr>
            </w:pPr>
            <w:r w:rsidRPr="000F5944">
              <w:rPr>
                <w:b/>
                <w:sz w:val="20"/>
                <w:szCs w:val="20"/>
                <w:lang w:val="es-PE"/>
              </w:rPr>
              <w:t>Gasto público del Gobierno General</w:t>
            </w:r>
          </w:p>
          <w:p w14:paraId="2D5F38ED" w14:textId="6E6FEF08" w:rsidR="002936A4" w:rsidRPr="002936A4" w:rsidRDefault="002936A4" w:rsidP="00CE0969">
            <w:pPr>
              <w:jc w:val="center"/>
              <w:rPr>
                <w:bCs/>
                <w:sz w:val="20"/>
                <w:szCs w:val="20"/>
                <w:lang w:val="es-PE"/>
              </w:rPr>
            </w:pPr>
            <w:r>
              <w:rPr>
                <w:bCs/>
                <w:sz w:val="20"/>
                <w:szCs w:val="20"/>
                <w:lang w:val="es-PE"/>
              </w:rPr>
              <w:t>(Miles de millones de S/ y % del PBI)</w:t>
            </w:r>
          </w:p>
          <w:p w14:paraId="020E2CF7" w14:textId="724D4C59" w:rsidR="002936A4" w:rsidRPr="000F5944" w:rsidRDefault="002936A4" w:rsidP="002936A4">
            <w:pPr>
              <w:rPr>
                <w:b/>
                <w:sz w:val="20"/>
                <w:szCs w:val="20"/>
                <w:lang w:val="es-PE"/>
              </w:rPr>
            </w:pPr>
          </w:p>
        </w:tc>
        <w:tc>
          <w:tcPr>
            <w:tcW w:w="4414" w:type="dxa"/>
          </w:tcPr>
          <w:p w14:paraId="715F09F4" w14:textId="77777777" w:rsidR="00142DEE" w:rsidRDefault="00D976A9" w:rsidP="00CE0969">
            <w:pPr>
              <w:jc w:val="center"/>
              <w:rPr>
                <w:b/>
                <w:sz w:val="20"/>
                <w:szCs w:val="20"/>
                <w:lang w:val="es-PE"/>
              </w:rPr>
            </w:pPr>
            <w:r>
              <w:rPr>
                <w:b/>
                <w:sz w:val="20"/>
                <w:szCs w:val="20"/>
                <w:lang w:val="es-PE"/>
              </w:rPr>
              <w:t xml:space="preserve">Gasto público y desarrollo económico en </w:t>
            </w:r>
            <w:r w:rsidR="00142DEE" w:rsidRPr="000F5944">
              <w:rPr>
                <w:b/>
                <w:sz w:val="20"/>
                <w:szCs w:val="20"/>
                <w:lang w:val="es-PE"/>
              </w:rPr>
              <w:t>América Latina</w:t>
            </w:r>
          </w:p>
          <w:p w14:paraId="74DFA591" w14:textId="660DB6E5" w:rsidR="002936A4" w:rsidRPr="000F5944" w:rsidRDefault="002936A4" w:rsidP="00CE0969">
            <w:pPr>
              <w:jc w:val="center"/>
              <w:rPr>
                <w:b/>
                <w:sz w:val="20"/>
                <w:szCs w:val="20"/>
                <w:lang w:val="es-PE"/>
              </w:rPr>
            </w:pPr>
            <w:r w:rsidRPr="000F5944">
              <w:rPr>
                <w:sz w:val="20"/>
                <w:szCs w:val="20"/>
                <w:lang w:val="es-PE"/>
              </w:rPr>
              <w:t>(% del PBI)</w:t>
            </w:r>
          </w:p>
        </w:tc>
      </w:tr>
      <w:tr w:rsidR="00600430" w14:paraId="4DFACAEF" w14:textId="77777777" w:rsidTr="002936A4">
        <w:trPr>
          <w:jc w:val="center"/>
        </w:trPr>
        <w:tc>
          <w:tcPr>
            <w:tcW w:w="4414" w:type="dxa"/>
          </w:tcPr>
          <w:p w14:paraId="1A32B68E" w14:textId="789E73FB" w:rsidR="007D0999" w:rsidRDefault="00600430" w:rsidP="00600430">
            <w:pPr>
              <w:jc w:val="center"/>
              <w:rPr>
                <w:lang w:val="es-PE"/>
              </w:rPr>
            </w:pPr>
            <w:r w:rsidRPr="00600430">
              <w:rPr>
                <w:noProof/>
                <w:lang w:val="es-PE"/>
              </w:rPr>
              <w:drawing>
                <wp:inline distT="0" distB="0" distL="0" distR="0" wp14:anchorId="1EA8C205" wp14:editId="3E1B76EC">
                  <wp:extent cx="2695575" cy="1799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6216" cy="1800018"/>
                          </a:xfrm>
                          <a:prstGeom prst="rect">
                            <a:avLst/>
                          </a:prstGeom>
                          <a:noFill/>
                          <a:ln>
                            <a:noFill/>
                          </a:ln>
                        </pic:spPr>
                      </pic:pic>
                    </a:graphicData>
                  </a:graphic>
                </wp:inline>
              </w:drawing>
            </w:r>
          </w:p>
        </w:tc>
        <w:tc>
          <w:tcPr>
            <w:tcW w:w="4414" w:type="dxa"/>
          </w:tcPr>
          <w:p w14:paraId="269219F6" w14:textId="77777777" w:rsidR="007D0999" w:rsidRDefault="00842D2C" w:rsidP="009D346D">
            <w:pPr>
              <w:jc w:val="both"/>
              <w:rPr>
                <w:lang w:val="es-PE"/>
              </w:rPr>
            </w:pPr>
            <w:r w:rsidRPr="00842D2C">
              <w:rPr>
                <w:noProof/>
              </w:rPr>
              <w:drawing>
                <wp:inline distT="0" distB="0" distL="0" distR="0" wp14:anchorId="10457F0B" wp14:editId="552795DF">
                  <wp:extent cx="2695574" cy="1799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501" cy="1804882"/>
                          </a:xfrm>
                          <a:prstGeom prst="rect">
                            <a:avLst/>
                          </a:prstGeom>
                          <a:noFill/>
                          <a:ln>
                            <a:noFill/>
                          </a:ln>
                        </pic:spPr>
                      </pic:pic>
                    </a:graphicData>
                  </a:graphic>
                </wp:inline>
              </w:drawing>
            </w:r>
          </w:p>
        </w:tc>
      </w:tr>
      <w:tr w:rsidR="00600430" w:rsidRPr="00842D2C" w14:paraId="5F3A4D30" w14:textId="77777777" w:rsidTr="002936A4">
        <w:trPr>
          <w:jc w:val="center"/>
        </w:trPr>
        <w:tc>
          <w:tcPr>
            <w:tcW w:w="4414" w:type="dxa"/>
          </w:tcPr>
          <w:p w14:paraId="29480120" w14:textId="77777777" w:rsidR="007D0999" w:rsidRPr="00142DEE" w:rsidRDefault="00CE0969" w:rsidP="009D346D">
            <w:pPr>
              <w:jc w:val="both"/>
              <w:rPr>
                <w:sz w:val="18"/>
                <w:lang w:val="es-PE"/>
              </w:rPr>
            </w:pPr>
            <w:r w:rsidRPr="00142DEE">
              <w:rPr>
                <w:sz w:val="18"/>
                <w:lang w:val="es-PE"/>
              </w:rPr>
              <w:t xml:space="preserve">Fuente: BCRP. </w:t>
            </w:r>
          </w:p>
        </w:tc>
        <w:tc>
          <w:tcPr>
            <w:tcW w:w="4414" w:type="dxa"/>
          </w:tcPr>
          <w:p w14:paraId="4A5FFB58" w14:textId="7B2AC7A9" w:rsidR="007D0999" w:rsidRPr="00E34827" w:rsidRDefault="00842D2C" w:rsidP="009D346D">
            <w:pPr>
              <w:jc w:val="both"/>
              <w:rPr>
                <w:sz w:val="18"/>
              </w:rPr>
            </w:pPr>
            <w:r w:rsidRPr="00E34827">
              <w:rPr>
                <w:sz w:val="18"/>
              </w:rPr>
              <w:t>Fuente: W</w:t>
            </w:r>
            <w:r w:rsidR="00E34827" w:rsidRPr="00E34827">
              <w:rPr>
                <w:sz w:val="18"/>
              </w:rPr>
              <w:t xml:space="preserve">orld </w:t>
            </w:r>
            <w:r w:rsidRPr="00E34827">
              <w:rPr>
                <w:sz w:val="18"/>
              </w:rPr>
              <w:t>E</w:t>
            </w:r>
            <w:r w:rsidR="00E34827" w:rsidRPr="00E34827">
              <w:rPr>
                <w:sz w:val="18"/>
              </w:rPr>
              <w:t xml:space="preserve">conomic </w:t>
            </w:r>
            <w:r w:rsidRPr="00E34827">
              <w:rPr>
                <w:sz w:val="18"/>
              </w:rPr>
              <w:t>O</w:t>
            </w:r>
            <w:r w:rsidR="00E34827" w:rsidRPr="00E34827">
              <w:rPr>
                <w:sz w:val="18"/>
              </w:rPr>
              <w:t>utlook Database</w:t>
            </w:r>
            <w:r w:rsidRPr="00E34827">
              <w:rPr>
                <w:sz w:val="18"/>
              </w:rPr>
              <w:t xml:space="preserve">. </w:t>
            </w:r>
          </w:p>
        </w:tc>
      </w:tr>
    </w:tbl>
    <w:p w14:paraId="46CFF51D" w14:textId="4A3CB093" w:rsidR="00FC3175" w:rsidRDefault="00276153" w:rsidP="00D976A9">
      <w:pPr>
        <w:spacing w:before="240"/>
        <w:jc w:val="both"/>
        <w:rPr>
          <w:bCs/>
          <w:sz w:val="20"/>
          <w:szCs w:val="20"/>
          <w:lang w:val="es-PE"/>
        </w:rPr>
      </w:pPr>
      <w:r w:rsidRPr="00D976A9">
        <w:rPr>
          <w:b/>
          <w:sz w:val="20"/>
          <w:szCs w:val="20"/>
          <w:lang w:val="es-PE"/>
        </w:rPr>
        <w:t>Además</w:t>
      </w:r>
      <w:r w:rsidR="00CA47C8" w:rsidRPr="00D976A9">
        <w:rPr>
          <w:b/>
          <w:sz w:val="20"/>
          <w:szCs w:val="20"/>
          <w:lang w:val="es-PE"/>
        </w:rPr>
        <w:t xml:space="preserve"> de preguntar</w:t>
      </w:r>
      <w:r w:rsidRPr="00D976A9">
        <w:rPr>
          <w:b/>
          <w:sz w:val="20"/>
          <w:szCs w:val="20"/>
          <w:lang w:val="es-PE"/>
        </w:rPr>
        <w:t>nos sobre</w:t>
      </w:r>
      <w:r w:rsidR="00CA47C8" w:rsidRPr="00D976A9">
        <w:rPr>
          <w:b/>
          <w:sz w:val="20"/>
          <w:szCs w:val="20"/>
          <w:lang w:val="es-PE"/>
        </w:rPr>
        <w:t xml:space="preserve"> cuál debería ser la participación del gobierno en la economía, </w:t>
      </w:r>
      <w:r w:rsidR="00FC3175">
        <w:rPr>
          <w:b/>
          <w:sz w:val="20"/>
          <w:szCs w:val="20"/>
          <w:lang w:val="es-PE"/>
        </w:rPr>
        <w:t xml:space="preserve">también es muy útil conocer cuáles son </w:t>
      </w:r>
      <w:r w:rsidR="008E724D">
        <w:rPr>
          <w:b/>
          <w:sz w:val="20"/>
          <w:szCs w:val="20"/>
          <w:lang w:val="es-PE"/>
        </w:rPr>
        <w:t>los objetivos</w:t>
      </w:r>
      <w:r w:rsidR="00FC3175">
        <w:rPr>
          <w:b/>
          <w:sz w:val="20"/>
          <w:szCs w:val="20"/>
          <w:lang w:val="es-PE"/>
        </w:rPr>
        <w:t xml:space="preserve"> que rigen el manejo del gasto público</w:t>
      </w:r>
      <w:r w:rsidR="008E724D">
        <w:rPr>
          <w:b/>
          <w:sz w:val="20"/>
          <w:szCs w:val="20"/>
          <w:lang w:val="es-PE"/>
        </w:rPr>
        <w:t xml:space="preserve">. </w:t>
      </w:r>
      <w:r w:rsidR="008E724D">
        <w:rPr>
          <w:bCs/>
          <w:sz w:val="20"/>
          <w:szCs w:val="20"/>
          <w:lang w:val="es-PE"/>
        </w:rPr>
        <w:t xml:space="preserve">Como instrumento económico, el gasto del gobierno sirve para estabilizar la economía, estimular el crecimiento económico, y promover la equidad. Anteriormente hemos mencionado que la participación del sector público en la economía es </w:t>
      </w:r>
      <w:r w:rsidR="000C0DB1">
        <w:rPr>
          <w:bCs/>
          <w:sz w:val="20"/>
          <w:szCs w:val="20"/>
          <w:lang w:val="es-PE"/>
        </w:rPr>
        <w:t xml:space="preserve">proporcional a </w:t>
      </w:r>
      <w:r w:rsidR="008E724D">
        <w:rPr>
          <w:bCs/>
          <w:sz w:val="20"/>
          <w:szCs w:val="20"/>
          <w:lang w:val="es-PE"/>
        </w:rPr>
        <w:t xml:space="preserve">un quinto del total. </w:t>
      </w:r>
      <w:r w:rsidR="000C0DB1">
        <w:rPr>
          <w:bCs/>
          <w:sz w:val="20"/>
          <w:szCs w:val="20"/>
          <w:lang w:val="es-PE"/>
        </w:rPr>
        <w:t xml:space="preserve">El gobierno </w:t>
      </w:r>
      <w:r w:rsidR="000C0DB1">
        <w:rPr>
          <w:bCs/>
          <w:sz w:val="20"/>
          <w:szCs w:val="20"/>
          <w:lang w:val="es-PE"/>
        </w:rPr>
        <w:lastRenderedPageBreak/>
        <w:t>contribuye a estabilizar los ciclos económicos reduciendo o aumentando temporalmente su participación en la economía, dependiendo de si la economía se encuentra en auge o en recesión.  Asimismo, componentes del gasto como la inversión pública y el gasto en formación de capital humano coadyuvan a incrementar el crecimiento potencial de la economía a través de la provisión de mayores capacidades productivas. Además, el gasto público puede</w:t>
      </w:r>
      <w:r w:rsidR="00152835">
        <w:rPr>
          <w:bCs/>
          <w:sz w:val="20"/>
          <w:szCs w:val="20"/>
          <w:lang w:val="es-PE"/>
        </w:rPr>
        <w:t xml:space="preserve"> ayudar a conseguir equidad a través de mayores intervenciones en los sectores más vulnerables de la población. </w:t>
      </w:r>
      <w:r w:rsidR="000C0DB1">
        <w:rPr>
          <w:bCs/>
          <w:sz w:val="20"/>
          <w:szCs w:val="20"/>
          <w:lang w:val="es-PE"/>
        </w:rPr>
        <w:t xml:space="preserve"> </w:t>
      </w:r>
    </w:p>
    <w:p w14:paraId="154EC854" w14:textId="4B5253AE" w:rsidR="00A955FA" w:rsidRDefault="00A955FA" w:rsidP="00D976A9">
      <w:pPr>
        <w:spacing w:before="240"/>
        <w:jc w:val="both"/>
        <w:rPr>
          <w:bCs/>
          <w:sz w:val="20"/>
          <w:szCs w:val="20"/>
          <w:lang w:val="es-PE"/>
        </w:rPr>
      </w:pPr>
      <w:r w:rsidRPr="004426F0">
        <w:rPr>
          <w:b/>
          <w:sz w:val="20"/>
          <w:szCs w:val="20"/>
          <w:lang w:val="es-PE"/>
        </w:rPr>
        <w:t>Conseguir cada objetivo del gasto público enfrenta diferentes dificultades</w:t>
      </w:r>
      <w:r>
        <w:rPr>
          <w:bCs/>
          <w:sz w:val="20"/>
          <w:szCs w:val="20"/>
          <w:lang w:val="es-PE"/>
        </w:rPr>
        <w:t>. Por ejemplo, el gasto enfocado en ayudar a la población más vulnerable debe ser correctamente focalizado si quiere cumplir su objetivo, y ello se dificulta por las filtraciones</w:t>
      </w:r>
      <w:r w:rsidR="004E7A17">
        <w:rPr>
          <w:bCs/>
          <w:sz w:val="20"/>
          <w:szCs w:val="20"/>
          <w:lang w:val="es-PE"/>
        </w:rPr>
        <w:t>, un sector informal</w:t>
      </w:r>
      <w:r>
        <w:rPr>
          <w:bCs/>
          <w:sz w:val="20"/>
          <w:szCs w:val="20"/>
          <w:lang w:val="es-PE"/>
        </w:rPr>
        <w:t xml:space="preserve"> </w:t>
      </w:r>
      <w:r w:rsidR="004E7A17">
        <w:rPr>
          <w:bCs/>
          <w:sz w:val="20"/>
          <w:szCs w:val="20"/>
          <w:lang w:val="es-PE"/>
        </w:rPr>
        <w:t>con trabajadores en condición de pobreza, entre otros. Por otro lado, la inversión pública, pilar del crecimiento económico</w:t>
      </w:r>
      <w:r w:rsidR="00CE1377">
        <w:rPr>
          <w:bCs/>
          <w:sz w:val="20"/>
          <w:szCs w:val="20"/>
          <w:lang w:val="es-PE"/>
        </w:rPr>
        <w:t>,</w:t>
      </w:r>
      <w:r w:rsidR="004E7A17">
        <w:rPr>
          <w:bCs/>
          <w:sz w:val="20"/>
          <w:szCs w:val="20"/>
          <w:lang w:val="es-PE"/>
        </w:rPr>
        <w:t xml:space="preserve"> enfrenta problemas de eficiencia a lo largo del ciclo de inversión. En la ejecución de obras públicas, un planeamiento demasiado optimista, retrasos en la ejecución del proyecto, vulnerabilidades de corrupción, y otros problemas </w:t>
      </w:r>
      <w:r w:rsidR="00B040A1">
        <w:rPr>
          <w:bCs/>
          <w:sz w:val="20"/>
          <w:szCs w:val="20"/>
          <w:lang w:val="es-PE"/>
        </w:rPr>
        <w:t>encarecen y demoran la realización de la inversión pública, afectando la calidad de vida de las personas. Respecto al rol estabilizador del gasto público, este enfrenta los retos de actuar oportunamente (el gasto público tiene un rezago entre su aprobación y ejecución), aplicar la magnitud adecuada (</w:t>
      </w:r>
      <w:r w:rsidR="00214437">
        <w:rPr>
          <w:bCs/>
          <w:sz w:val="20"/>
          <w:szCs w:val="20"/>
          <w:lang w:val="es-PE"/>
        </w:rPr>
        <w:t>el gasto debe aumentar o bajar en proporción a la severidad de la situación</w:t>
      </w:r>
      <w:r w:rsidR="00B040A1">
        <w:rPr>
          <w:bCs/>
          <w:sz w:val="20"/>
          <w:szCs w:val="20"/>
          <w:lang w:val="es-PE"/>
        </w:rPr>
        <w:t>)</w:t>
      </w:r>
      <w:r w:rsidR="00214437">
        <w:rPr>
          <w:bCs/>
          <w:sz w:val="20"/>
          <w:szCs w:val="20"/>
          <w:lang w:val="es-PE"/>
        </w:rPr>
        <w:t xml:space="preserve">, y escoger los componentes más oportunos (considerando qué componentes del gasto público tienen mayor capacidad de afectar la economía). Asimismo, un ultimo reto a considerar es la fuente de financiamiento del gasto público. El gasto financiado por deuda debe servir para realizar políticas de carácter transitorio, por el contrario, políticas de más larga duración deben ser financiadas por ingresos regulares del gobierno como los impuestos. </w:t>
      </w:r>
    </w:p>
    <w:p w14:paraId="7FE0EB7D" w14:textId="5D08E2ED" w:rsidR="00A513ED" w:rsidRDefault="00AE373E" w:rsidP="00D976A9">
      <w:pPr>
        <w:spacing w:before="240"/>
        <w:jc w:val="both"/>
        <w:rPr>
          <w:sz w:val="20"/>
          <w:szCs w:val="20"/>
          <w:lang w:val="es-PE"/>
        </w:rPr>
      </w:pPr>
      <w:r w:rsidRPr="00B65466">
        <w:rPr>
          <w:b/>
          <w:sz w:val="20"/>
          <w:szCs w:val="20"/>
          <w:lang w:val="es-PE"/>
        </w:rPr>
        <w:t xml:space="preserve">A pesar de las dificultades para que una política de gasto sea óptima, el gasto público es uno de los instrumentos más utilizados dentro de la política macroeconómica. En ese sentido, concierne preguntarnos cuál es el efecto de un aumento </w:t>
      </w:r>
      <w:r w:rsidR="007B236F" w:rsidRPr="00B65466">
        <w:rPr>
          <w:b/>
          <w:sz w:val="20"/>
          <w:szCs w:val="20"/>
          <w:lang w:val="es-PE"/>
        </w:rPr>
        <w:t xml:space="preserve">o reducción </w:t>
      </w:r>
      <w:r w:rsidRPr="00B65466">
        <w:rPr>
          <w:b/>
          <w:sz w:val="20"/>
          <w:szCs w:val="20"/>
          <w:lang w:val="es-PE"/>
        </w:rPr>
        <w:t>del gasto público en la economía</w:t>
      </w:r>
      <w:r>
        <w:rPr>
          <w:bCs/>
          <w:sz w:val="20"/>
          <w:szCs w:val="20"/>
          <w:lang w:val="es-PE"/>
        </w:rPr>
        <w:t xml:space="preserve">. ¿Su efecto sigue siendo positivo a pesar de las ineficiencias? ¿cuáles son los componentes del gasto que deberían priorizarse </w:t>
      </w:r>
      <w:r w:rsidR="007B236F">
        <w:rPr>
          <w:bCs/>
          <w:sz w:val="20"/>
          <w:szCs w:val="20"/>
          <w:lang w:val="es-PE"/>
        </w:rPr>
        <w:t xml:space="preserve">para conseguir hacer más con menos gasto? Y, por último, numéricamente ¿cuál es la magnitud en la que el gasto público impulsa a la economía? </w:t>
      </w:r>
      <w:r>
        <w:rPr>
          <w:bCs/>
          <w:sz w:val="20"/>
          <w:szCs w:val="20"/>
          <w:lang w:val="es-PE"/>
        </w:rPr>
        <w:t xml:space="preserve"> </w:t>
      </w:r>
      <w:r w:rsidR="007B236F">
        <w:rPr>
          <w:bCs/>
          <w:sz w:val="20"/>
          <w:szCs w:val="20"/>
          <w:lang w:val="es-PE"/>
        </w:rPr>
        <w:t xml:space="preserve">Estas preguntas pueden ser respondidas a través del cálculo de los multiplicadores de gasto público de la economía peruana. </w:t>
      </w:r>
      <w:r w:rsidR="00B65466">
        <w:rPr>
          <w:bCs/>
          <w:sz w:val="20"/>
          <w:szCs w:val="20"/>
          <w:lang w:val="es-PE"/>
        </w:rPr>
        <w:t>Los cuales, d</w:t>
      </w:r>
      <w:r w:rsidR="007B236F">
        <w:rPr>
          <w:bCs/>
          <w:sz w:val="20"/>
          <w:szCs w:val="20"/>
          <w:lang w:val="es-PE"/>
        </w:rPr>
        <w:t xml:space="preserve">e acuerdo con </w:t>
      </w:r>
      <w:r w:rsidR="007B236F" w:rsidRPr="00D976A9">
        <w:rPr>
          <w:sz w:val="20"/>
          <w:szCs w:val="20"/>
          <w:lang w:val="es-PE"/>
        </w:rPr>
        <w:t xml:space="preserve">Spilimbergo et al. (2009), se definen como la relación de un cambio en la producción a un cambio discrecional en </w:t>
      </w:r>
      <w:r w:rsidR="007B236F">
        <w:rPr>
          <w:sz w:val="20"/>
          <w:szCs w:val="20"/>
          <w:lang w:val="es-PE"/>
        </w:rPr>
        <w:t>algún componente del</w:t>
      </w:r>
      <w:r w:rsidR="007B236F" w:rsidRPr="00D976A9">
        <w:rPr>
          <w:sz w:val="20"/>
          <w:szCs w:val="20"/>
          <w:lang w:val="es-PE"/>
        </w:rPr>
        <w:t xml:space="preserve"> gasto públic</w:t>
      </w:r>
      <w:r w:rsidR="007B236F">
        <w:rPr>
          <w:sz w:val="20"/>
          <w:szCs w:val="20"/>
          <w:lang w:val="es-PE"/>
        </w:rPr>
        <w:t>o</w:t>
      </w:r>
      <w:r w:rsidR="007B236F" w:rsidRPr="00D976A9">
        <w:rPr>
          <w:sz w:val="20"/>
          <w:szCs w:val="20"/>
          <w:lang w:val="es-PE"/>
        </w:rPr>
        <w:t>.</w:t>
      </w:r>
      <w:r w:rsidR="007B236F">
        <w:rPr>
          <w:sz w:val="20"/>
          <w:szCs w:val="20"/>
          <w:lang w:val="es-PE"/>
        </w:rPr>
        <w:t xml:space="preserve"> Conocer </w:t>
      </w:r>
      <w:r w:rsidR="007B236F" w:rsidRPr="00D976A9">
        <w:rPr>
          <w:sz w:val="20"/>
          <w:szCs w:val="20"/>
          <w:lang w:val="es-PE"/>
        </w:rPr>
        <w:t>el multiplicador fiscal de una economía puede ser muy útil para la toma de decisiones del gobierno</w:t>
      </w:r>
      <w:r w:rsidR="00B65466">
        <w:rPr>
          <w:sz w:val="20"/>
          <w:szCs w:val="20"/>
          <w:lang w:val="es-PE"/>
        </w:rPr>
        <w:t xml:space="preserve"> puesto que nos permite conocer qué dirección y magnitud toma la política económica. </w:t>
      </w:r>
    </w:p>
    <w:p w14:paraId="366446CC" w14:textId="79CB6E16" w:rsidR="0082517C" w:rsidRPr="00610552" w:rsidRDefault="00B65466" w:rsidP="00BF45F8">
      <w:pPr>
        <w:jc w:val="both"/>
        <w:rPr>
          <w:bCs/>
          <w:sz w:val="20"/>
          <w:szCs w:val="20"/>
          <w:lang w:val="es-PE"/>
        </w:rPr>
      </w:pPr>
      <w:r>
        <w:rPr>
          <w:b/>
          <w:sz w:val="20"/>
          <w:szCs w:val="20"/>
          <w:lang w:val="es-PE"/>
        </w:rPr>
        <w:t xml:space="preserve">Los componentes desde </w:t>
      </w:r>
      <w:r w:rsidR="00546AA8">
        <w:rPr>
          <w:b/>
          <w:sz w:val="20"/>
          <w:szCs w:val="20"/>
          <w:lang w:val="es-PE"/>
        </w:rPr>
        <w:t>los</w:t>
      </w:r>
      <w:r>
        <w:rPr>
          <w:b/>
          <w:sz w:val="20"/>
          <w:szCs w:val="20"/>
          <w:lang w:val="es-PE"/>
        </w:rPr>
        <w:t xml:space="preserve"> cual</w:t>
      </w:r>
      <w:r w:rsidR="00546AA8">
        <w:rPr>
          <w:b/>
          <w:sz w:val="20"/>
          <w:szCs w:val="20"/>
          <w:lang w:val="es-PE"/>
        </w:rPr>
        <w:t>es</w:t>
      </w:r>
      <w:r>
        <w:rPr>
          <w:b/>
          <w:sz w:val="20"/>
          <w:szCs w:val="20"/>
          <w:lang w:val="es-PE"/>
        </w:rPr>
        <w:t xml:space="preserve"> se evaluará la política de gasto público </w:t>
      </w:r>
      <w:r w:rsidR="00546AA8">
        <w:rPr>
          <w:b/>
          <w:sz w:val="20"/>
          <w:szCs w:val="20"/>
          <w:lang w:val="es-PE"/>
        </w:rPr>
        <w:t xml:space="preserve">son el gasto corriente y el gasto de capital. </w:t>
      </w:r>
      <w:r w:rsidR="00546AA8">
        <w:rPr>
          <w:bCs/>
          <w:sz w:val="20"/>
          <w:szCs w:val="20"/>
          <w:lang w:val="es-PE"/>
        </w:rPr>
        <w:t xml:space="preserve">Estos componentes corresponden a la clasificación económica del gasto, en la cual el componente corriente hace referencia a los gastos regulares del gobierno como salarios, pensiones, y transferencias; </w:t>
      </w:r>
      <w:r w:rsidR="00610552">
        <w:rPr>
          <w:bCs/>
          <w:sz w:val="20"/>
          <w:szCs w:val="20"/>
          <w:lang w:val="es-PE"/>
        </w:rPr>
        <w:t>y, por otro lado,</w:t>
      </w:r>
      <w:r w:rsidR="00546AA8">
        <w:rPr>
          <w:bCs/>
          <w:sz w:val="20"/>
          <w:szCs w:val="20"/>
          <w:lang w:val="es-PE"/>
        </w:rPr>
        <w:t xml:space="preserve"> el gasto de capital refleja la inversión del sector público para proveer al país de infraestructura. Existe otra clasificación del gasto, la clasificación funcional, que divide el gasto de acuerdo a la función que cumple, si es atención a educación, salud, seguridad, etc. </w:t>
      </w:r>
      <w:r w:rsidR="00610552">
        <w:rPr>
          <w:bCs/>
          <w:sz w:val="20"/>
          <w:szCs w:val="20"/>
          <w:lang w:val="es-PE"/>
        </w:rPr>
        <w:t>Ambas clasificaciones están relacionadas ya que el gasto corriente incluye los recursos destinados a pagar salarios, pensiones, etc. de profesores, personal de salud, seguridad y otros relacionados a la formación de capital humano. Asimismo, el gasto en inversión pública esta dirigido a proveer capital físico que complemente y facilite la inversión privada (por ejemplo, la construcción de carreteras).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394"/>
      </w:tblGrid>
      <w:tr w:rsidR="0082517C" w:rsidRPr="00003CE4" w14:paraId="25424F9F" w14:textId="77777777" w:rsidTr="00546AA8">
        <w:tc>
          <w:tcPr>
            <w:tcW w:w="4414" w:type="dxa"/>
          </w:tcPr>
          <w:p w14:paraId="3FFCCD10" w14:textId="6116B848" w:rsidR="0082517C" w:rsidRPr="00546AA8" w:rsidRDefault="007849FB" w:rsidP="00951274">
            <w:pPr>
              <w:jc w:val="center"/>
              <w:rPr>
                <w:b/>
                <w:sz w:val="20"/>
                <w:szCs w:val="20"/>
                <w:lang w:val="es-PE"/>
              </w:rPr>
            </w:pPr>
            <w:r>
              <w:rPr>
                <w:b/>
                <w:sz w:val="20"/>
                <w:szCs w:val="20"/>
                <w:lang w:val="es-PE"/>
              </w:rPr>
              <w:t>Clasificación funcional del gasto público -</w:t>
            </w:r>
            <w:r w:rsidR="00951274" w:rsidRPr="00546AA8">
              <w:rPr>
                <w:b/>
                <w:sz w:val="20"/>
                <w:szCs w:val="20"/>
                <w:lang w:val="es-PE"/>
              </w:rPr>
              <w:t>Distribución del Presupuesto Inicial de Apertura</w:t>
            </w:r>
          </w:p>
          <w:p w14:paraId="6053A731" w14:textId="77777777" w:rsidR="00951274" w:rsidRPr="00546AA8" w:rsidRDefault="00951274" w:rsidP="00951274">
            <w:pPr>
              <w:jc w:val="center"/>
              <w:rPr>
                <w:sz w:val="20"/>
                <w:szCs w:val="20"/>
                <w:lang w:val="es-PE"/>
              </w:rPr>
            </w:pPr>
            <w:r w:rsidRPr="00546AA8">
              <w:rPr>
                <w:sz w:val="20"/>
                <w:szCs w:val="20"/>
                <w:lang w:val="es-PE"/>
              </w:rPr>
              <w:t>(Miles de millones de S/)</w:t>
            </w:r>
          </w:p>
        </w:tc>
        <w:tc>
          <w:tcPr>
            <w:tcW w:w="4414" w:type="dxa"/>
          </w:tcPr>
          <w:p w14:paraId="0441EE7A" w14:textId="3F59CAC3" w:rsidR="001F12D5" w:rsidRPr="00546AA8" w:rsidRDefault="007849FB" w:rsidP="001F12D5">
            <w:pPr>
              <w:jc w:val="center"/>
              <w:rPr>
                <w:b/>
                <w:sz w:val="20"/>
                <w:szCs w:val="20"/>
                <w:lang w:val="es-PE"/>
              </w:rPr>
            </w:pPr>
            <w:r>
              <w:rPr>
                <w:b/>
                <w:sz w:val="20"/>
                <w:szCs w:val="20"/>
                <w:lang w:val="es-PE"/>
              </w:rPr>
              <w:t>Clasificación económica del gasto público</w:t>
            </w:r>
            <w:r w:rsidR="00F04503">
              <w:rPr>
                <w:b/>
                <w:sz w:val="20"/>
                <w:szCs w:val="20"/>
                <w:lang w:val="es-PE"/>
              </w:rPr>
              <w:t xml:space="preserve"> del gobierno general</w:t>
            </w:r>
          </w:p>
          <w:p w14:paraId="70667278" w14:textId="28A925B0" w:rsidR="0082517C" w:rsidRPr="00546AA8" w:rsidRDefault="001F12D5" w:rsidP="001F12D5">
            <w:pPr>
              <w:jc w:val="center"/>
              <w:rPr>
                <w:sz w:val="20"/>
                <w:szCs w:val="20"/>
                <w:lang w:val="es-PE"/>
              </w:rPr>
            </w:pPr>
            <w:r w:rsidRPr="00546AA8">
              <w:rPr>
                <w:sz w:val="20"/>
                <w:szCs w:val="20"/>
                <w:lang w:val="es-PE"/>
              </w:rPr>
              <w:t>(</w:t>
            </w:r>
            <w:r w:rsidR="003B35EF">
              <w:rPr>
                <w:sz w:val="20"/>
                <w:szCs w:val="20"/>
                <w:lang w:val="es-PE"/>
              </w:rPr>
              <w:t>% del PBI)</w:t>
            </w:r>
          </w:p>
        </w:tc>
      </w:tr>
      <w:tr w:rsidR="0082517C" w:rsidRPr="00854CB6" w14:paraId="052E469C" w14:textId="77777777" w:rsidTr="00546AA8">
        <w:tc>
          <w:tcPr>
            <w:tcW w:w="4414" w:type="dxa"/>
          </w:tcPr>
          <w:p w14:paraId="7BF53B22" w14:textId="77777777" w:rsidR="0082517C" w:rsidRDefault="00951274" w:rsidP="00BF45F8">
            <w:pPr>
              <w:jc w:val="both"/>
              <w:rPr>
                <w:lang w:val="es-PE"/>
              </w:rPr>
            </w:pPr>
            <w:r w:rsidRPr="00951274">
              <w:rPr>
                <w:noProof/>
              </w:rPr>
              <w:lastRenderedPageBreak/>
              <w:drawing>
                <wp:inline distT="0" distB="0" distL="0" distR="0" wp14:anchorId="6AAD73C9" wp14:editId="1B3FD5D1">
                  <wp:extent cx="2695575" cy="1628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428" cy="1629290"/>
                          </a:xfrm>
                          <a:prstGeom prst="rect">
                            <a:avLst/>
                          </a:prstGeom>
                          <a:noFill/>
                          <a:ln>
                            <a:noFill/>
                          </a:ln>
                        </pic:spPr>
                      </pic:pic>
                    </a:graphicData>
                  </a:graphic>
                </wp:inline>
              </w:drawing>
            </w:r>
          </w:p>
        </w:tc>
        <w:tc>
          <w:tcPr>
            <w:tcW w:w="4414" w:type="dxa"/>
          </w:tcPr>
          <w:p w14:paraId="09EA8649" w14:textId="77777777" w:rsidR="0082517C" w:rsidRDefault="001F12D5" w:rsidP="00BF45F8">
            <w:pPr>
              <w:jc w:val="both"/>
              <w:rPr>
                <w:lang w:val="es-PE"/>
              </w:rPr>
            </w:pPr>
            <w:r w:rsidRPr="001F12D5">
              <w:rPr>
                <w:noProof/>
              </w:rPr>
              <w:drawing>
                <wp:inline distT="0" distB="0" distL="0" distR="0" wp14:anchorId="7AFA66B3" wp14:editId="7342CE92">
                  <wp:extent cx="2663656" cy="1628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742" cy="1635554"/>
                          </a:xfrm>
                          <a:prstGeom prst="rect">
                            <a:avLst/>
                          </a:prstGeom>
                          <a:noFill/>
                          <a:ln>
                            <a:noFill/>
                          </a:ln>
                        </pic:spPr>
                      </pic:pic>
                    </a:graphicData>
                  </a:graphic>
                </wp:inline>
              </w:drawing>
            </w:r>
          </w:p>
        </w:tc>
      </w:tr>
      <w:tr w:rsidR="0082517C" w:rsidRPr="00951274" w14:paraId="34016EC3" w14:textId="77777777" w:rsidTr="00546AA8">
        <w:tc>
          <w:tcPr>
            <w:tcW w:w="4414" w:type="dxa"/>
          </w:tcPr>
          <w:p w14:paraId="5B5788F7" w14:textId="3FD95447" w:rsidR="0082517C" w:rsidRPr="00951274" w:rsidRDefault="00951274" w:rsidP="00951274">
            <w:pPr>
              <w:jc w:val="both"/>
              <w:rPr>
                <w:sz w:val="18"/>
                <w:lang w:val="es-PE"/>
              </w:rPr>
            </w:pPr>
            <w:r w:rsidRPr="00951274">
              <w:rPr>
                <w:sz w:val="18"/>
                <w:lang w:val="es-PE"/>
              </w:rPr>
              <w:t xml:space="preserve">Fuente: </w:t>
            </w:r>
            <w:r w:rsidR="002A45A8">
              <w:rPr>
                <w:sz w:val="18"/>
                <w:lang w:val="es-PE"/>
              </w:rPr>
              <w:t>MEF.</w:t>
            </w:r>
          </w:p>
        </w:tc>
        <w:tc>
          <w:tcPr>
            <w:tcW w:w="4414" w:type="dxa"/>
          </w:tcPr>
          <w:p w14:paraId="482E51B5" w14:textId="77777777" w:rsidR="0082517C" w:rsidRDefault="001F12D5" w:rsidP="00BF45F8">
            <w:pPr>
              <w:jc w:val="both"/>
              <w:rPr>
                <w:lang w:val="es-PE"/>
              </w:rPr>
            </w:pPr>
            <w:r w:rsidRPr="001F12D5">
              <w:rPr>
                <w:sz w:val="18"/>
                <w:lang w:val="es-PE"/>
              </w:rPr>
              <w:t>Fuente: BCRP</w:t>
            </w:r>
          </w:p>
        </w:tc>
      </w:tr>
    </w:tbl>
    <w:p w14:paraId="3602F8CC" w14:textId="77777777" w:rsidR="0082517C" w:rsidRDefault="0082517C" w:rsidP="00BF45F8">
      <w:pPr>
        <w:jc w:val="both"/>
        <w:rPr>
          <w:lang w:val="es-PE"/>
        </w:rPr>
      </w:pPr>
    </w:p>
    <w:p w14:paraId="293DD796" w14:textId="3AAF0C96" w:rsidR="00A53D45" w:rsidRDefault="007A32D9" w:rsidP="00C20871">
      <w:pPr>
        <w:jc w:val="both"/>
        <w:rPr>
          <w:lang w:val="es-PE"/>
        </w:rPr>
      </w:pPr>
      <w:r w:rsidRPr="002A45A8">
        <w:rPr>
          <w:sz w:val="20"/>
          <w:szCs w:val="20"/>
          <w:lang w:val="es-PE"/>
        </w:rPr>
        <w:t>Así, nos planteamos hallar la dirección, la magnitud del efecto del gasto público sobre la economía, así como la identificación de sus componentes</w:t>
      </w:r>
      <w:r w:rsidR="002A45A8" w:rsidRPr="002A45A8">
        <w:rPr>
          <w:sz w:val="20"/>
          <w:szCs w:val="20"/>
          <w:lang w:val="es-PE"/>
        </w:rPr>
        <w:t xml:space="preserve"> que deberían ser priorizados</w:t>
      </w:r>
      <w:r w:rsidRPr="002A45A8">
        <w:rPr>
          <w:sz w:val="20"/>
          <w:szCs w:val="20"/>
          <w:lang w:val="es-PE"/>
        </w:rPr>
        <w:t>. Para lograr estos tres objetivos, se dispone de data trimestral de gasto corriente</w:t>
      </w:r>
      <w:r w:rsidR="002A45A8" w:rsidRPr="002A45A8">
        <w:rPr>
          <w:rStyle w:val="Refdenotaalpie"/>
          <w:sz w:val="20"/>
          <w:szCs w:val="20"/>
          <w:lang w:val="es-PE"/>
        </w:rPr>
        <w:footnoteReference w:id="3"/>
      </w:r>
      <w:r w:rsidRPr="002A45A8">
        <w:rPr>
          <w:sz w:val="20"/>
          <w:szCs w:val="20"/>
          <w:lang w:val="es-PE"/>
        </w:rPr>
        <w:t>, gasto de capital, ingresos tributarios, PBI</w:t>
      </w:r>
      <w:r w:rsidR="00140A6D" w:rsidRPr="002A45A8">
        <w:rPr>
          <w:sz w:val="20"/>
          <w:szCs w:val="20"/>
          <w:lang w:val="es-PE"/>
        </w:rPr>
        <w:t xml:space="preserve"> real</w:t>
      </w:r>
      <w:r w:rsidR="004346E8" w:rsidRPr="002A45A8">
        <w:rPr>
          <w:sz w:val="20"/>
          <w:szCs w:val="20"/>
          <w:lang w:val="es-PE"/>
        </w:rPr>
        <w:t xml:space="preserve"> no primario</w:t>
      </w:r>
      <w:r w:rsidR="00FC1349">
        <w:rPr>
          <w:rStyle w:val="Refdenotaalpie"/>
          <w:sz w:val="20"/>
          <w:szCs w:val="20"/>
          <w:lang w:val="es-PE"/>
        </w:rPr>
        <w:footnoteReference w:id="4"/>
      </w:r>
      <w:r w:rsidRPr="002A45A8">
        <w:rPr>
          <w:sz w:val="20"/>
          <w:szCs w:val="20"/>
          <w:lang w:val="es-PE"/>
        </w:rPr>
        <w:t>, y</w:t>
      </w:r>
      <w:r w:rsidR="004346E8" w:rsidRPr="002A45A8">
        <w:rPr>
          <w:sz w:val="20"/>
          <w:szCs w:val="20"/>
          <w:lang w:val="es-PE"/>
        </w:rPr>
        <w:t xml:space="preserve"> </w:t>
      </w:r>
      <w:r w:rsidRPr="002A45A8">
        <w:rPr>
          <w:sz w:val="20"/>
          <w:szCs w:val="20"/>
          <w:lang w:val="es-PE"/>
        </w:rPr>
        <w:t>términos de intercambio de las exportaciones</w:t>
      </w:r>
      <w:r w:rsidR="00B26DE7" w:rsidRPr="002A45A8">
        <w:rPr>
          <w:sz w:val="20"/>
          <w:szCs w:val="20"/>
          <w:lang w:val="es-PE"/>
        </w:rPr>
        <w:t xml:space="preserve">. </w:t>
      </w:r>
      <w:r w:rsidR="00E97592">
        <w:rPr>
          <w:sz w:val="20"/>
          <w:szCs w:val="20"/>
          <w:lang w:val="es-PE"/>
        </w:rPr>
        <w:t xml:space="preserve">Todas las series pertenecen al gobierno general y </w:t>
      </w:r>
      <w:r w:rsidR="00BF5849">
        <w:rPr>
          <w:sz w:val="20"/>
          <w:szCs w:val="20"/>
          <w:lang w:val="es-PE"/>
        </w:rPr>
        <w:t>en niveles se encuentran desde 2006, las series en tasas de crecimiento consideran el periodo desde el primer trimestre de 2007 hasta el cuarto trimestre de 2019. Diversos estudios emplean los datos del gobierno central</w:t>
      </w:r>
      <w:r w:rsidR="00E97592">
        <w:rPr>
          <w:sz w:val="20"/>
          <w:szCs w:val="20"/>
          <w:lang w:val="es-PE"/>
        </w:rPr>
        <w:t xml:space="preserve"> por su mayor </w:t>
      </w:r>
      <w:r w:rsidR="00B6290E">
        <w:rPr>
          <w:sz w:val="20"/>
          <w:szCs w:val="20"/>
          <w:lang w:val="es-PE"/>
        </w:rPr>
        <w:t>número de observaciones</w:t>
      </w:r>
      <w:r w:rsidR="00E97592">
        <w:rPr>
          <w:sz w:val="20"/>
          <w:szCs w:val="20"/>
          <w:lang w:val="es-PE"/>
        </w:rPr>
        <w:t xml:space="preserve">, sin embargo, su principal desventaja es que no incorpora el gasto de los gobiernos locales ni de las unidades extra presupuestales. </w:t>
      </w:r>
    </w:p>
    <w:tbl>
      <w:tblPr>
        <w:tblStyle w:val="Tablaconcuadrcula"/>
        <w:tblW w:w="8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1561"/>
        <w:gridCol w:w="1404"/>
        <w:gridCol w:w="2937"/>
      </w:tblGrid>
      <w:tr w:rsidR="009E5952" w:rsidRPr="00003CE4" w14:paraId="46305064" w14:textId="77777777" w:rsidTr="00E97592">
        <w:trPr>
          <w:trHeight w:val="476"/>
          <w:jc w:val="center"/>
        </w:trPr>
        <w:tc>
          <w:tcPr>
            <w:tcW w:w="2936" w:type="dxa"/>
          </w:tcPr>
          <w:p w14:paraId="5481CF33" w14:textId="0190192D" w:rsidR="00A53D45" w:rsidRPr="00C90C1D" w:rsidRDefault="009E5952" w:rsidP="009E5952">
            <w:pPr>
              <w:jc w:val="center"/>
              <w:rPr>
                <w:b/>
                <w:bCs/>
                <w:sz w:val="20"/>
                <w:szCs w:val="20"/>
                <w:lang w:val="es-PE"/>
              </w:rPr>
            </w:pPr>
            <w:r w:rsidRPr="00C90C1D">
              <w:rPr>
                <w:b/>
                <w:bCs/>
                <w:sz w:val="20"/>
                <w:szCs w:val="20"/>
                <w:lang w:val="es-PE"/>
              </w:rPr>
              <w:t>Términos de intercambio de las exportaciones</w:t>
            </w:r>
          </w:p>
        </w:tc>
        <w:tc>
          <w:tcPr>
            <w:tcW w:w="2937" w:type="dxa"/>
            <w:gridSpan w:val="2"/>
          </w:tcPr>
          <w:p w14:paraId="12F6C154" w14:textId="29161E4C" w:rsidR="00A53D45" w:rsidRPr="00C90C1D" w:rsidRDefault="009E5952" w:rsidP="009E5952">
            <w:pPr>
              <w:jc w:val="center"/>
              <w:rPr>
                <w:b/>
                <w:bCs/>
                <w:sz w:val="20"/>
                <w:szCs w:val="20"/>
                <w:lang w:val="es-PE"/>
              </w:rPr>
            </w:pPr>
            <w:r w:rsidRPr="00C90C1D">
              <w:rPr>
                <w:b/>
                <w:bCs/>
                <w:sz w:val="20"/>
                <w:szCs w:val="20"/>
                <w:lang w:val="es-PE"/>
              </w:rPr>
              <w:t>Gasto corriente del gobierno general</w:t>
            </w:r>
          </w:p>
        </w:tc>
        <w:tc>
          <w:tcPr>
            <w:tcW w:w="2937" w:type="dxa"/>
          </w:tcPr>
          <w:p w14:paraId="1F637947" w14:textId="3EDBEF5A" w:rsidR="00A53D45" w:rsidRPr="00C90C1D" w:rsidRDefault="009E5952" w:rsidP="009E5952">
            <w:pPr>
              <w:jc w:val="center"/>
              <w:rPr>
                <w:b/>
                <w:bCs/>
                <w:sz w:val="20"/>
                <w:szCs w:val="20"/>
                <w:lang w:val="es-PE"/>
              </w:rPr>
            </w:pPr>
            <w:r w:rsidRPr="00C90C1D">
              <w:rPr>
                <w:b/>
                <w:bCs/>
                <w:sz w:val="20"/>
                <w:szCs w:val="20"/>
                <w:lang w:val="es-PE"/>
              </w:rPr>
              <w:t>Gasto de capital del gobierno general</w:t>
            </w:r>
          </w:p>
        </w:tc>
      </w:tr>
      <w:tr w:rsidR="009E5952" w14:paraId="6C209B52" w14:textId="77777777" w:rsidTr="00E97592">
        <w:trPr>
          <w:trHeight w:val="1615"/>
          <w:jc w:val="center"/>
        </w:trPr>
        <w:tc>
          <w:tcPr>
            <w:tcW w:w="2936" w:type="dxa"/>
          </w:tcPr>
          <w:p w14:paraId="4688DDA0" w14:textId="5EEF6B5D" w:rsidR="00A53D45" w:rsidRDefault="009E5952" w:rsidP="007849FB">
            <w:pPr>
              <w:jc w:val="center"/>
              <w:rPr>
                <w:lang w:val="es-PE"/>
              </w:rPr>
            </w:pPr>
            <w:r w:rsidRPr="009E5952">
              <w:rPr>
                <w:noProof/>
                <w:lang w:val="es-PE"/>
              </w:rPr>
              <w:drawing>
                <wp:inline distT="0" distB="0" distL="0" distR="0" wp14:anchorId="7EF47BB1" wp14:editId="27BCFE9E">
                  <wp:extent cx="1978660" cy="1114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3859" cy="1117353"/>
                          </a:xfrm>
                          <a:prstGeom prst="rect">
                            <a:avLst/>
                          </a:prstGeom>
                          <a:noFill/>
                          <a:ln>
                            <a:noFill/>
                          </a:ln>
                        </pic:spPr>
                      </pic:pic>
                    </a:graphicData>
                  </a:graphic>
                </wp:inline>
              </w:drawing>
            </w:r>
          </w:p>
        </w:tc>
        <w:tc>
          <w:tcPr>
            <w:tcW w:w="2937" w:type="dxa"/>
            <w:gridSpan w:val="2"/>
          </w:tcPr>
          <w:p w14:paraId="0BAB200A" w14:textId="1E08E8C0" w:rsidR="00A53D45" w:rsidRDefault="009E5952" w:rsidP="007849FB">
            <w:pPr>
              <w:jc w:val="center"/>
              <w:rPr>
                <w:lang w:val="es-PE"/>
              </w:rPr>
            </w:pPr>
            <w:r w:rsidRPr="009E5952">
              <w:rPr>
                <w:noProof/>
                <w:lang w:val="es-PE"/>
              </w:rPr>
              <w:drawing>
                <wp:inline distT="0" distB="0" distL="0" distR="0" wp14:anchorId="659DB7FF" wp14:editId="2399FCE5">
                  <wp:extent cx="1980000" cy="1112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0000" cy="1112911"/>
                          </a:xfrm>
                          <a:prstGeom prst="rect">
                            <a:avLst/>
                          </a:prstGeom>
                          <a:noFill/>
                          <a:ln>
                            <a:noFill/>
                          </a:ln>
                        </pic:spPr>
                      </pic:pic>
                    </a:graphicData>
                  </a:graphic>
                </wp:inline>
              </w:drawing>
            </w:r>
          </w:p>
        </w:tc>
        <w:tc>
          <w:tcPr>
            <w:tcW w:w="2937" w:type="dxa"/>
          </w:tcPr>
          <w:p w14:paraId="3EF8DC1A" w14:textId="24447983" w:rsidR="00A53D45" w:rsidRDefault="009E5952" w:rsidP="007849FB">
            <w:pPr>
              <w:jc w:val="center"/>
              <w:rPr>
                <w:lang w:val="es-PE"/>
              </w:rPr>
            </w:pPr>
            <w:r w:rsidRPr="009E5952">
              <w:rPr>
                <w:noProof/>
                <w:lang w:val="es-PE"/>
              </w:rPr>
              <w:drawing>
                <wp:inline distT="0" distB="0" distL="0" distR="0" wp14:anchorId="6F1BE643" wp14:editId="1CC8A1AB">
                  <wp:extent cx="1980000" cy="11167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0000" cy="1116748"/>
                          </a:xfrm>
                          <a:prstGeom prst="rect">
                            <a:avLst/>
                          </a:prstGeom>
                          <a:noFill/>
                          <a:ln>
                            <a:noFill/>
                          </a:ln>
                        </pic:spPr>
                      </pic:pic>
                    </a:graphicData>
                  </a:graphic>
                </wp:inline>
              </w:drawing>
            </w:r>
          </w:p>
        </w:tc>
      </w:tr>
      <w:tr w:rsidR="009E5952" w14:paraId="1A045678" w14:textId="77777777" w:rsidTr="00E97592">
        <w:trPr>
          <w:trHeight w:val="230"/>
          <w:jc w:val="center"/>
        </w:trPr>
        <w:tc>
          <w:tcPr>
            <w:tcW w:w="2936" w:type="dxa"/>
          </w:tcPr>
          <w:p w14:paraId="5FFEAE33" w14:textId="77777777" w:rsidR="009E5952" w:rsidRPr="009E5952" w:rsidRDefault="009E5952" w:rsidP="00C20871">
            <w:pPr>
              <w:jc w:val="both"/>
              <w:rPr>
                <w:noProof/>
                <w:lang w:val="es-PE"/>
              </w:rPr>
            </w:pPr>
          </w:p>
        </w:tc>
        <w:tc>
          <w:tcPr>
            <w:tcW w:w="2937" w:type="dxa"/>
            <w:gridSpan w:val="2"/>
          </w:tcPr>
          <w:p w14:paraId="486DBE1B" w14:textId="77777777" w:rsidR="009E5952" w:rsidRPr="009E5952" w:rsidRDefault="009E5952" w:rsidP="00C20871">
            <w:pPr>
              <w:jc w:val="both"/>
              <w:rPr>
                <w:noProof/>
                <w:lang w:val="es-PE"/>
              </w:rPr>
            </w:pPr>
          </w:p>
        </w:tc>
        <w:tc>
          <w:tcPr>
            <w:tcW w:w="2937" w:type="dxa"/>
          </w:tcPr>
          <w:p w14:paraId="3522FB02" w14:textId="77777777" w:rsidR="009E5952" w:rsidRPr="009E5952" w:rsidRDefault="009E5952" w:rsidP="00C20871">
            <w:pPr>
              <w:jc w:val="both"/>
              <w:rPr>
                <w:noProof/>
                <w:lang w:val="es-PE"/>
              </w:rPr>
            </w:pPr>
          </w:p>
        </w:tc>
      </w:tr>
      <w:tr w:rsidR="009E5952" w14:paraId="5BFDBC97" w14:textId="77777777" w:rsidTr="00E97592">
        <w:trPr>
          <w:trHeight w:val="244"/>
          <w:jc w:val="center"/>
        </w:trPr>
        <w:tc>
          <w:tcPr>
            <w:tcW w:w="4387" w:type="dxa"/>
            <w:gridSpan w:val="2"/>
          </w:tcPr>
          <w:p w14:paraId="29B1224E" w14:textId="183DC4D5" w:rsidR="009E5952" w:rsidRPr="00C90C1D" w:rsidRDefault="009E5952" w:rsidP="009E5952">
            <w:pPr>
              <w:jc w:val="center"/>
              <w:rPr>
                <w:b/>
                <w:bCs/>
                <w:sz w:val="20"/>
                <w:szCs w:val="20"/>
                <w:lang w:val="es-PE"/>
              </w:rPr>
            </w:pPr>
            <w:r w:rsidRPr="00C90C1D">
              <w:rPr>
                <w:b/>
                <w:bCs/>
                <w:sz w:val="20"/>
                <w:szCs w:val="20"/>
                <w:lang w:val="es-PE"/>
              </w:rPr>
              <w:t>PBI no primario</w:t>
            </w:r>
          </w:p>
        </w:tc>
        <w:tc>
          <w:tcPr>
            <w:tcW w:w="4424" w:type="dxa"/>
            <w:gridSpan w:val="2"/>
          </w:tcPr>
          <w:p w14:paraId="5350C0B5" w14:textId="6A837441" w:rsidR="009E5952" w:rsidRPr="00C90C1D" w:rsidRDefault="009E5952" w:rsidP="009E5952">
            <w:pPr>
              <w:jc w:val="center"/>
              <w:rPr>
                <w:b/>
                <w:bCs/>
                <w:sz w:val="20"/>
                <w:szCs w:val="20"/>
                <w:lang w:val="es-PE"/>
              </w:rPr>
            </w:pPr>
            <w:r w:rsidRPr="00C90C1D">
              <w:rPr>
                <w:b/>
                <w:bCs/>
                <w:sz w:val="20"/>
                <w:szCs w:val="20"/>
                <w:lang w:val="es-PE"/>
              </w:rPr>
              <w:t>Ingresos del gobierno general</w:t>
            </w:r>
          </w:p>
        </w:tc>
      </w:tr>
      <w:tr w:rsidR="009E5952" w14:paraId="1846A28E" w14:textId="77777777" w:rsidTr="00E97592">
        <w:trPr>
          <w:trHeight w:val="1586"/>
          <w:jc w:val="center"/>
        </w:trPr>
        <w:tc>
          <w:tcPr>
            <w:tcW w:w="4387" w:type="dxa"/>
            <w:gridSpan w:val="2"/>
          </w:tcPr>
          <w:p w14:paraId="28E51588" w14:textId="6622D9F2" w:rsidR="009E5952" w:rsidRDefault="009E5952" w:rsidP="009E5952">
            <w:pPr>
              <w:jc w:val="center"/>
              <w:rPr>
                <w:lang w:val="es-PE"/>
              </w:rPr>
            </w:pPr>
            <w:r w:rsidRPr="009E5952">
              <w:rPr>
                <w:noProof/>
                <w:lang w:val="es-PE"/>
              </w:rPr>
              <w:drawing>
                <wp:inline distT="0" distB="0" distL="0" distR="0" wp14:anchorId="44D151BA" wp14:editId="26B0E3A0">
                  <wp:extent cx="2414905" cy="1114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5220" cy="1114570"/>
                          </a:xfrm>
                          <a:prstGeom prst="rect">
                            <a:avLst/>
                          </a:prstGeom>
                          <a:noFill/>
                          <a:ln>
                            <a:noFill/>
                          </a:ln>
                        </pic:spPr>
                      </pic:pic>
                    </a:graphicData>
                  </a:graphic>
                </wp:inline>
              </w:drawing>
            </w:r>
          </w:p>
        </w:tc>
        <w:tc>
          <w:tcPr>
            <w:tcW w:w="4424" w:type="dxa"/>
            <w:gridSpan w:val="2"/>
          </w:tcPr>
          <w:p w14:paraId="775523AD" w14:textId="4FF69094" w:rsidR="009E5952" w:rsidRDefault="009E5952" w:rsidP="009E5952">
            <w:pPr>
              <w:jc w:val="center"/>
              <w:rPr>
                <w:lang w:val="es-PE"/>
              </w:rPr>
            </w:pPr>
            <w:r w:rsidRPr="009E5952">
              <w:rPr>
                <w:noProof/>
                <w:lang w:val="es-PE"/>
              </w:rPr>
              <w:drawing>
                <wp:inline distT="0" distB="0" distL="0" distR="0" wp14:anchorId="4EA48FC5" wp14:editId="0F55E09C">
                  <wp:extent cx="2266950" cy="1115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7572" cy="1116001"/>
                          </a:xfrm>
                          <a:prstGeom prst="rect">
                            <a:avLst/>
                          </a:prstGeom>
                          <a:noFill/>
                          <a:ln>
                            <a:noFill/>
                          </a:ln>
                        </pic:spPr>
                      </pic:pic>
                    </a:graphicData>
                  </a:graphic>
                </wp:inline>
              </w:drawing>
            </w:r>
          </w:p>
        </w:tc>
      </w:tr>
      <w:tr w:rsidR="009E5952" w:rsidRPr="00E97592" w14:paraId="1CDCF523" w14:textId="77777777" w:rsidTr="00E97592">
        <w:trPr>
          <w:trHeight w:val="244"/>
          <w:jc w:val="center"/>
        </w:trPr>
        <w:tc>
          <w:tcPr>
            <w:tcW w:w="8812" w:type="dxa"/>
            <w:gridSpan w:val="4"/>
          </w:tcPr>
          <w:p w14:paraId="409502FC" w14:textId="1FB28317" w:rsidR="00E97592" w:rsidRDefault="00E97592" w:rsidP="00C90C1D">
            <w:pPr>
              <w:spacing w:before="240"/>
              <w:jc w:val="both"/>
              <w:rPr>
                <w:sz w:val="18"/>
                <w:szCs w:val="18"/>
                <w:lang w:val="es-PE"/>
              </w:rPr>
            </w:pPr>
            <w:r>
              <w:rPr>
                <w:sz w:val="18"/>
                <w:szCs w:val="18"/>
                <w:lang w:val="es-PE"/>
              </w:rPr>
              <w:t xml:space="preserve">Nota: El gasto corriente del gobierno general consiste en la suma de bienes y servicios y remuneraciones </w:t>
            </w:r>
          </w:p>
          <w:p w14:paraId="7EBFBDB0" w14:textId="6B1931B6" w:rsidR="009E5952" w:rsidRPr="009E5952" w:rsidRDefault="009E5952" w:rsidP="00C20871">
            <w:pPr>
              <w:jc w:val="both"/>
              <w:rPr>
                <w:sz w:val="18"/>
                <w:szCs w:val="18"/>
                <w:lang w:val="es-PE"/>
              </w:rPr>
            </w:pPr>
            <w:r w:rsidRPr="009E5952">
              <w:rPr>
                <w:sz w:val="18"/>
                <w:szCs w:val="18"/>
                <w:lang w:val="es-PE"/>
              </w:rPr>
              <w:t>Fuente: BCRP. Elaboración propia.</w:t>
            </w:r>
          </w:p>
        </w:tc>
      </w:tr>
    </w:tbl>
    <w:p w14:paraId="46B85DB1" w14:textId="67BD9863" w:rsidR="00E97592" w:rsidRPr="002A45A8" w:rsidRDefault="00E97592" w:rsidP="00E97592">
      <w:pPr>
        <w:spacing w:before="240"/>
        <w:jc w:val="both"/>
        <w:rPr>
          <w:sz w:val="20"/>
          <w:szCs w:val="20"/>
          <w:lang w:val="es-PE"/>
        </w:rPr>
      </w:pPr>
      <w:r w:rsidRPr="002A45A8">
        <w:rPr>
          <w:sz w:val="20"/>
          <w:szCs w:val="20"/>
          <w:lang w:val="es-PE"/>
        </w:rPr>
        <w:t>La metodología a usar se trata de un modelo de vectores auto regresivos bayesiano (BVAR</w:t>
      </w:r>
      <w:r w:rsidR="000F2AE5">
        <w:rPr>
          <w:rStyle w:val="Refdenotaalpie"/>
          <w:sz w:val="20"/>
          <w:szCs w:val="20"/>
          <w:lang w:val="es-PE"/>
        </w:rPr>
        <w:footnoteReference w:id="5"/>
      </w:r>
      <w:r w:rsidRPr="002A45A8">
        <w:rPr>
          <w:sz w:val="20"/>
          <w:szCs w:val="20"/>
          <w:lang w:val="es-PE"/>
        </w:rPr>
        <w:t>), el cual permite realizar estimaciones sin contar con un registro histórico extenso de datos</w:t>
      </w:r>
      <w:r w:rsidR="00C90C1D">
        <w:rPr>
          <w:sz w:val="20"/>
          <w:szCs w:val="20"/>
          <w:lang w:val="es-PE"/>
        </w:rPr>
        <w:t>, a través de un conocimiento a priori del comportamiento de los datos</w:t>
      </w:r>
      <w:r w:rsidRPr="002A45A8">
        <w:rPr>
          <w:sz w:val="20"/>
          <w:szCs w:val="20"/>
          <w:lang w:val="es-PE"/>
        </w:rPr>
        <w:t xml:space="preserve">. </w:t>
      </w:r>
      <w:r w:rsidR="00A17FF0">
        <w:rPr>
          <w:sz w:val="20"/>
          <w:szCs w:val="20"/>
          <w:lang w:val="es-PE"/>
        </w:rPr>
        <w:t xml:space="preserve">En el presente caso, se asume </w:t>
      </w:r>
      <w:proofErr w:type="gramStart"/>
      <w:r w:rsidR="00A17FF0">
        <w:rPr>
          <w:sz w:val="20"/>
          <w:szCs w:val="20"/>
          <w:lang w:val="es-PE"/>
        </w:rPr>
        <w:t>la prior</w:t>
      </w:r>
      <w:proofErr w:type="gramEnd"/>
      <w:r w:rsidR="00A17FF0">
        <w:rPr>
          <w:sz w:val="20"/>
          <w:szCs w:val="20"/>
          <w:lang w:val="es-PE"/>
        </w:rPr>
        <w:t xml:space="preserve"> de </w:t>
      </w:r>
      <w:r w:rsidR="00A17FF0">
        <w:rPr>
          <w:sz w:val="20"/>
          <w:szCs w:val="20"/>
          <w:lang w:val="es-PE"/>
        </w:rPr>
        <w:lastRenderedPageBreak/>
        <w:t>Minnesota cuyos hiperparámetros</w:t>
      </w:r>
      <w:r w:rsidR="007849FB">
        <w:rPr>
          <w:rStyle w:val="Refdenotaalpie"/>
          <w:sz w:val="20"/>
          <w:szCs w:val="20"/>
          <w:lang w:val="es-PE"/>
        </w:rPr>
        <w:footnoteReference w:id="6"/>
      </w:r>
      <w:r w:rsidR="00A17FF0">
        <w:rPr>
          <w:sz w:val="20"/>
          <w:szCs w:val="20"/>
          <w:lang w:val="es-PE"/>
        </w:rPr>
        <w:t xml:space="preserve"> fueron obtenidos a través de una búsqueda secuencial (</w:t>
      </w:r>
      <w:proofErr w:type="spellStart"/>
      <w:r w:rsidR="00A17FF0">
        <w:rPr>
          <w:sz w:val="20"/>
          <w:szCs w:val="20"/>
          <w:lang w:val="es-PE"/>
        </w:rPr>
        <w:t>grid</w:t>
      </w:r>
      <w:proofErr w:type="spellEnd"/>
      <w:r w:rsidR="00A17FF0">
        <w:rPr>
          <w:sz w:val="20"/>
          <w:szCs w:val="20"/>
          <w:lang w:val="es-PE"/>
        </w:rPr>
        <w:t xml:space="preserve"> </w:t>
      </w:r>
      <w:proofErr w:type="spellStart"/>
      <w:r w:rsidR="00A17FF0">
        <w:rPr>
          <w:sz w:val="20"/>
          <w:szCs w:val="20"/>
          <w:lang w:val="es-PE"/>
        </w:rPr>
        <w:t>search</w:t>
      </w:r>
      <w:proofErr w:type="spellEnd"/>
      <w:r w:rsidR="00A17FF0">
        <w:rPr>
          <w:sz w:val="20"/>
          <w:szCs w:val="20"/>
          <w:lang w:val="es-PE"/>
        </w:rPr>
        <w:t>).</w:t>
      </w:r>
      <w:r w:rsidR="00BC1639">
        <w:rPr>
          <w:sz w:val="20"/>
          <w:szCs w:val="20"/>
          <w:lang w:val="es-PE"/>
        </w:rPr>
        <w:t xml:space="preserve"> El sistema se calculó con un rezago</w:t>
      </w:r>
      <w:r w:rsidR="00F56708">
        <w:rPr>
          <w:sz w:val="20"/>
          <w:szCs w:val="20"/>
          <w:lang w:val="es-PE"/>
        </w:rPr>
        <w:t>,</w:t>
      </w:r>
      <w:r w:rsidR="00BC1639">
        <w:rPr>
          <w:sz w:val="20"/>
          <w:szCs w:val="20"/>
          <w:lang w:val="es-PE"/>
        </w:rPr>
        <w:t xml:space="preserve"> con cinco mil simulaciones</w:t>
      </w:r>
      <w:r w:rsidR="00F56708">
        <w:rPr>
          <w:sz w:val="20"/>
          <w:szCs w:val="20"/>
          <w:lang w:val="es-PE"/>
        </w:rPr>
        <w:t>, y el esquema de identificación es de tipo Cholesky</w:t>
      </w:r>
      <w:r w:rsidR="00BC1639">
        <w:rPr>
          <w:sz w:val="20"/>
          <w:szCs w:val="20"/>
          <w:lang w:val="es-PE"/>
        </w:rPr>
        <w:t>.</w:t>
      </w:r>
      <w:r w:rsidR="00A17FF0">
        <w:rPr>
          <w:sz w:val="20"/>
          <w:szCs w:val="20"/>
          <w:lang w:val="es-PE"/>
        </w:rPr>
        <w:t xml:space="preserve"> </w:t>
      </w:r>
      <w:r w:rsidRPr="002A45A8">
        <w:rPr>
          <w:sz w:val="20"/>
          <w:szCs w:val="20"/>
          <w:lang w:val="es-PE"/>
        </w:rPr>
        <w:t xml:space="preserve">El sistema es lineal, las variables estacionarias y los errores son normalmente distribuidos. El modelo es descrito como sigue: </w:t>
      </w:r>
    </w:p>
    <w:p w14:paraId="29EF31FC" w14:textId="77777777" w:rsidR="00E97592" w:rsidRPr="002A45A8" w:rsidRDefault="004D3801" w:rsidP="00E97592">
      <w:pPr>
        <w:jc w:val="both"/>
        <w:rPr>
          <w:sz w:val="20"/>
          <w:szCs w:val="20"/>
          <w:lang w:val="es-PE"/>
        </w:rPr>
      </w:pPr>
      <m:oMathPara>
        <m:oMath>
          <m:sSub>
            <m:sSubPr>
              <m:ctrlPr>
                <w:rPr>
                  <w:rFonts w:ascii="Cambria Math" w:hAnsi="Cambria Math"/>
                  <w:i/>
                  <w:sz w:val="20"/>
                  <w:szCs w:val="20"/>
                  <w:lang w:val="es-PE"/>
                </w:rPr>
              </m:ctrlPr>
            </m:sSubPr>
            <m:e>
              <m:r>
                <w:rPr>
                  <w:rFonts w:ascii="Cambria Math" w:hAnsi="Cambria Math"/>
                  <w:sz w:val="20"/>
                  <w:szCs w:val="20"/>
                  <w:lang w:val="es-PE"/>
                </w:rPr>
                <m:t>Y</m:t>
              </m:r>
            </m:e>
            <m:sub>
              <m:r>
                <w:rPr>
                  <w:rFonts w:ascii="Cambria Math" w:hAnsi="Cambria Math"/>
                  <w:sz w:val="20"/>
                  <w:szCs w:val="20"/>
                  <w:lang w:val="es-PE"/>
                </w:rPr>
                <m:t>t</m:t>
              </m:r>
            </m:sub>
          </m:sSub>
          <m:r>
            <w:rPr>
              <w:rFonts w:ascii="Cambria Math" w:hAnsi="Cambria Math"/>
              <w:sz w:val="20"/>
              <w:szCs w:val="20"/>
              <w:lang w:val="es-PE"/>
            </w:rPr>
            <m:t>=A</m:t>
          </m:r>
          <m:d>
            <m:dPr>
              <m:ctrlPr>
                <w:rPr>
                  <w:rFonts w:ascii="Cambria Math" w:hAnsi="Cambria Math"/>
                  <w:i/>
                  <w:sz w:val="20"/>
                  <w:szCs w:val="20"/>
                  <w:lang w:val="es-PE"/>
                </w:rPr>
              </m:ctrlPr>
            </m:dPr>
            <m:e>
              <m:r>
                <w:rPr>
                  <w:rFonts w:ascii="Cambria Math" w:hAnsi="Cambria Math"/>
                  <w:sz w:val="20"/>
                  <w:szCs w:val="20"/>
                  <w:lang w:val="es-PE"/>
                </w:rPr>
                <m:t>L</m:t>
              </m:r>
            </m:e>
          </m:d>
          <m:sSub>
            <m:sSubPr>
              <m:ctrlPr>
                <w:rPr>
                  <w:rFonts w:ascii="Cambria Math" w:hAnsi="Cambria Math"/>
                  <w:i/>
                  <w:sz w:val="20"/>
                  <w:szCs w:val="20"/>
                  <w:lang w:val="es-PE"/>
                </w:rPr>
              </m:ctrlPr>
            </m:sSubPr>
            <m:e>
              <m:r>
                <w:rPr>
                  <w:rFonts w:ascii="Cambria Math" w:hAnsi="Cambria Math"/>
                  <w:sz w:val="20"/>
                  <w:szCs w:val="20"/>
                  <w:lang w:val="es-PE"/>
                </w:rPr>
                <m:t>Y</m:t>
              </m:r>
            </m:e>
            <m:sub>
              <m:r>
                <w:rPr>
                  <w:rFonts w:ascii="Cambria Math" w:hAnsi="Cambria Math"/>
                  <w:sz w:val="20"/>
                  <w:szCs w:val="20"/>
                  <w:lang w:val="es-PE"/>
                </w:rPr>
                <m:t>t-1</m:t>
              </m:r>
            </m:sub>
          </m:sSub>
          <m:r>
            <w:rPr>
              <w:rFonts w:ascii="Cambria Math" w:hAnsi="Cambria Math"/>
              <w:sz w:val="20"/>
              <w:szCs w:val="20"/>
              <w:lang w:val="es-PE"/>
            </w:rPr>
            <m:t>+</m:t>
          </m:r>
          <m:sSubSup>
            <m:sSubSupPr>
              <m:ctrlPr>
                <w:rPr>
                  <w:rFonts w:ascii="Cambria Math" w:hAnsi="Cambria Math"/>
                  <w:i/>
                  <w:sz w:val="20"/>
                  <w:szCs w:val="20"/>
                  <w:lang w:val="es-PE"/>
                </w:rPr>
              </m:ctrlPr>
            </m:sSubSupPr>
            <m:e>
              <m:r>
                <w:rPr>
                  <w:rFonts w:ascii="Cambria Math" w:hAnsi="Cambria Math"/>
                  <w:sz w:val="20"/>
                  <w:szCs w:val="20"/>
                  <w:lang w:val="es-PE"/>
                </w:rPr>
                <m:t>A</m:t>
              </m:r>
            </m:e>
            <m:sub>
              <m:r>
                <w:rPr>
                  <w:rFonts w:ascii="Cambria Math" w:hAnsi="Cambria Math"/>
                  <w:sz w:val="20"/>
                  <w:szCs w:val="20"/>
                  <w:lang w:val="es-PE"/>
                </w:rPr>
                <m:t>0</m:t>
              </m:r>
            </m:sub>
            <m:sup>
              <m:r>
                <w:rPr>
                  <w:rFonts w:ascii="Cambria Math" w:hAnsi="Cambria Math"/>
                  <w:sz w:val="20"/>
                  <w:szCs w:val="20"/>
                  <w:lang w:val="es-PE"/>
                </w:rPr>
                <m:t>-1</m:t>
              </m:r>
            </m:sup>
          </m:sSubSup>
          <m:sSub>
            <m:sSubPr>
              <m:ctrlPr>
                <w:rPr>
                  <w:rFonts w:ascii="Cambria Math" w:eastAsiaTheme="minorEastAsia" w:hAnsi="Cambria Math"/>
                  <w:i/>
                  <w:sz w:val="20"/>
                  <w:szCs w:val="20"/>
                  <w:lang w:val="es-PE"/>
                </w:rPr>
              </m:ctrlPr>
            </m:sSubPr>
            <m:e>
              <m:r>
                <w:rPr>
                  <w:rFonts w:ascii="Cambria Math" w:eastAsiaTheme="minorEastAsia" w:hAnsi="Cambria Math"/>
                  <w:sz w:val="20"/>
                  <w:szCs w:val="20"/>
                  <w:lang w:val="es-PE"/>
                </w:rPr>
                <m:t>E</m:t>
              </m:r>
            </m:e>
            <m:sub>
              <m:r>
                <w:rPr>
                  <w:rFonts w:ascii="Cambria Math" w:eastAsiaTheme="minorEastAsia" w:hAnsi="Cambria Math"/>
                  <w:sz w:val="20"/>
                  <w:szCs w:val="20"/>
                  <w:lang w:val="es-PE"/>
                </w:rPr>
                <m:t>t</m:t>
              </m:r>
            </m:sub>
          </m:sSub>
        </m:oMath>
      </m:oMathPara>
    </w:p>
    <w:p w14:paraId="102026FB" w14:textId="7CB718D5" w:rsidR="009D346D" w:rsidRDefault="00E97592" w:rsidP="00C90C1D">
      <w:pPr>
        <w:jc w:val="both"/>
        <w:rPr>
          <w:rFonts w:eastAsiaTheme="minorEastAsia"/>
          <w:sz w:val="20"/>
          <w:szCs w:val="20"/>
          <w:lang w:val="es-PE"/>
        </w:rPr>
      </w:pPr>
      <w:r w:rsidRPr="002A45A8">
        <w:rPr>
          <w:sz w:val="20"/>
          <w:szCs w:val="20"/>
          <w:lang w:val="es-PE"/>
        </w:rPr>
        <w:t xml:space="preserve">Donde </w:t>
      </w:r>
      <m:oMath>
        <m:r>
          <w:rPr>
            <w:rFonts w:ascii="Cambria Math" w:hAnsi="Cambria Math"/>
            <w:sz w:val="20"/>
            <w:szCs w:val="20"/>
            <w:lang w:val="es-PE"/>
          </w:rPr>
          <m:t>Y</m:t>
        </m:r>
      </m:oMath>
      <w:r w:rsidRPr="002A45A8">
        <w:rPr>
          <w:rFonts w:eastAsiaTheme="minorEastAsia"/>
          <w:sz w:val="20"/>
          <w:szCs w:val="20"/>
          <w:lang w:val="es-PE"/>
        </w:rPr>
        <w:t xml:space="preserve"> representa las variables macroeconómicas, </w:t>
      </w:r>
      <m:oMath>
        <m:r>
          <w:rPr>
            <w:rFonts w:ascii="Cambria Math" w:eastAsiaTheme="minorEastAsia" w:hAnsi="Cambria Math"/>
            <w:sz w:val="20"/>
            <w:szCs w:val="20"/>
            <w:lang w:val="es-PE"/>
          </w:rPr>
          <m:t>E</m:t>
        </m:r>
      </m:oMath>
      <w:r w:rsidRPr="002A45A8">
        <w:rPr>
          <w:rFonts w:eastAsiaTheme="minorEastAsia"/>
          <w:sz w:val="20"/>
          <w:szCs w:val="20"/>
          <w:lang w:val="es-PE"/>
        </w:rPr>
        <w:t xml:space="preserve"> son los choques estructurales, y </w:t>
      </w:r>
      <m:oMath>
        <m:r>
          <w:rPr>
            <w:rFonts w:ascii="Cambria Math" w:eastAsiaTheme="minorEastAsia" w:hAnsi="Cambria Math"/>
            <w:sz w:val="20"/>
            <w:szCs w:val="20"/>
            <w:lang w:val="es-PE"/>
          </w:rPr>
          <m:t>A</m:t>
        </m:r>
      </m:oMath>
      <w:r w:rsidRPr="002A45A8">
        <w:rPr>
          <w:rFonts w:eastAsiaTheme="minorEastAsia"/>
          <w:sz w:val="20"/>
          <w:szCs w:val="20"/>
          <w:lang w:val="es-PE"/>
        </w:rPr>
        <w:t xml:space="preserve"> es la matriz de efectos contemporáneos. Para evitar problemas de raíz unitaria se obtiene la tasa de crecimiento anual del PBI de los componentes del gasto público, y de los ingresos del gobierno general. </w:t>
      </w:r>
      <w:r w:rsidR="00B6290E">
        <w:rPr>
          <w:rFonts w:eastAsiaTheme="minorEastAsia"/>
          <w:sz w:val="20"/>
          <w:szCs w:val="20"/>
          <w:lang w:val="es-PE"/>
        </w:rPr>
        <w:t>El orden de las variables es el siguiente: términos de intercambio de las exportaciones, gasto corriente, gasto de capital</w:t>
      </w:r>
      <w:r w:rsidR="00FC1349">
        <w:rPr>
          <w:rFonts w:eastAsiaTheme="minorEastAsia"/>
          <w:sz w:val="20"/>
          <w:szCs w:val="20"/>
          <w:lang w:val="es-PE"/>
        </w:rPr>
        <w:t xml:space="preserve">, PBI no primario e ingresos del gobierno general. </w:t>
      </w:r>
    </w:p>
    <w:p w14:paraId="4E17DB4D" w14:textId="00F275F8" w:rsidR="003C543A" w:rsidRPr="003C543A" w:rsidRDefault="003C543A" w:rsidP="00C90C1D">
      <w:pPr>
        <w:jc w:val="both"/>
        <w:rPr>
          <w:sz w:val="20"/>
          <w:szCs w:val="20"/>
          <w:lang w:val="es-PE"/>
        </w:rPr>
      </w:pPr>
      <w:r>
        <w:rPr>
          <w:sz w:val="20"/>
          <w:szCs w:val="20"/>
          <w:lang w:val="es-PE"/>
        </w:rPr>
        <w:t>Al unirse, por medio del teorema de Bayes</w:t>
      </w:r>
      <w:r w:rsidR="00F56DAF">
        <w:rPr>
          <w:rStyle w:val="Refdenotaalpie"/>
          <w:sz w:val="20"/>
          <w:szCs w:val="20"/>
          <w:lang w:val="es-PE"/>
        </w:rPr>
        <w:footnoteReference w:id="7"/>
      </w:r>
      <w:r>
        <w:rPr>
          <w:sz w:val="20"/>
          <w:szCs w:val="20"/>
          <w:lang w:val="es-PE"/>
        </w:rPr>
        <w:t>, la función de verosimilitud (información de los datos) y el conocimiento a priori (información por fuera de los datos) se obtiene la distribución posterior que permite realizar inferencias del model</w:t>
      </w:r>
      <w:r w:rsidR="004E5D99">
        <w:rPr>
          <w:sz w:val="20"/>
          <w:szCs w:val="20"/>
          <w:lang w:val="es-PE"/>
        </w:rPr>
        <w:t>o</w:t>
      </w:r>
      <w:r>
        <w:rPr>
          <w:sz w:val="20"/>
          <w:szCs w:val="20"/>
          <w:lang w:val="es-PE"/>
        </w:rPr>
        <w:t>.</w:t>
      </w:r>
      <w:r w:rsidR="004E5D99">
        <w:rPr>
          <w:sz w:val="20"/>
          <w:szCs w:val="20"/>
          <w:lang w:val="es-PE"/>
        </w:rPr>
        <w:t xml:space="preserve"> De esta manera, este método permite </w:t>
      </w:r>
      <w:r w:rsidR="00F56DAF">
        <w:rPr>
          <w:sz w:val="20"/>
          <w:szCs w:val="20"/>
          <w:lang w:val="es-PE"/>
        </w:rPr>
        <w:t xml:space="preserve">sobrellevar el problema de no contar con una amplia frecuencia de datos. </w:t>
      </w:r>
      <w:r>
        <w:rPr>
          <w:sz w:val="20"/>
          <w:szCs w:val="20"/>
          <w:lang w:val="es-PE"/>
        </w:rPr>
        <w:t xml:space="preserve"> </w:t>
      </w:r>
    </w:p>
    <w:tbl>
      <w:tblPr>
        <w:tblStyle w:val="Tablaconcuadrcula"/>
        <w:tblpPr w:leftFromText="141" w:rightFromText="141" w:vertAnchor="text" w:horzAnchor="margin" w:tblpY="20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B1A71" w:rsidRPr="00003CE4" w14:paraId="53D19604" w14:textId="77777777" w:rsidTr="00A53D45">
        <w:trPr>
          <w:trHeight w:val="709"/>
        </w:trPr>
        <w:tc>
          <w:tcPr>
            <w:tcW w:w="0" w:type="auto"/>
          </w:tcPr>
          <w:p w14:paraId="107573E2" w14:textId="6E01BBB2" w:rsidR="001B1A71" w:rsidRPr="000F2AE5" w:rsidRDefault="001B1A71" w:rsidP="004346E8">
            <w:pPr>
              <w:jc w:val="center"/>
              <w:rPr>
                <w:b/>
                <w:bCs/>
                <w:sz w:val="18"/>
                <w:szCs w:val="18"/>
                <w:lang w:val="es-PE"/>
              </w:rPr>
            </w:pPr>
            <w:r w:rsidRPr="000F2AE5">
              <w:rPr>
                <w:b/>
                <w:bCs/>
                <w:sz w:val="18"/>
                <w:szCs w:val="18"/>
                <w:lang w:val="es-PE"/>
              </w:rPr>
              <w:t>Respuesta del PBI no primario a un aumento del gasto corriente del gobierno</w:t>
            </w:r>
            <w:r w:rsidR="00D4283E" w:rsidRPr="000F2AE5">
              <w:rPr>
                <w:b/>
                <w:bCs/>
                <w:sz w:val="18"/>
                <w:szCs w:val="18"/>
                <w:lang w:val="es-PE"/>
              </w:rPr>
              <w:t xml:space="preserve"> general</w:t>
            </w:r>
          </w:p>
        </w:tc>
        <w:tc>
          <w:tcPr>
            <w:tcW w:w="0" w:type="auto"/>
          </w:tcPr>
          <w:p w14:paraId="04EB5968" w14:textId="69DBBC38" w:rsidR="001B1A71" w:rsidRPr="000F2AE5" w:rsidRDefault="001B1A71" w:rsidP="004346E8">
            <w:pPr>
              <w:jc w:val="center"/>
              <w:rPr>
                <w:b/>
                <w:bCs/>
                <w:sz w:val="18"/>
                <w:szCs w:val="18"/>
                <w:lang w:val="es-PE"/>
              </w:rPr>
            </w:pPr>
            <w:r w:rsidRPr="000F2AE5">
              <w:rPr>
                <w:b/>
                <w:bCs/>
                <w:sz w:val="18"/>
                <w:szCs w:val="18"/>
                <w:lang w:val="es-PE"/>
              </w:rPr>
              <w:t>Respuesta del PBI no primario a un aumento del gasto de capital del gobierno</w:t>
            </w:r>
            <w:r w:rsidR="00D4283E" w:rsidRPr="000F2AE5">
              <w:rPr>
                <w:b/>
                <w:bCs/>
                <w:sz w:val="18"/>
                <w:szCs w:val="18"/>
                <w:lang w:val="es-PE"/>
              </w:rPr>
              <w:t xml:space="preserve"> general</w:t>
            </w:r>
          </w:p>
        </w:tc>
      </w:tr>
      <w:tr w:rsidR="001B1A71" w14:paraId="5A846C95" w14:textId="77777777" w:rsidTr="00A53D45">
        <w:trPr>
          <w:trHeight w:val="2555"/>
        </w:trPr>
        <w:tc>
          <w:tcPr>
            <w:tcW w:w="0" w:type="auto"/>
          </w:tcPr>
          <w:p w14:paraId="2A74E9E0" w14:textId="77777777" w:rsidR="001B1A71" w:rsidRDefault="001B1A71" w:rsidP="004346E8">
            <w:pPr>
              <w:rPr>
                <w:lang w:val="es-PE"/>
              </w:rPr>
            </w:pPr>
            <w:r w:rsidRPr="002B038A">
              <w:rPr>
                <w:noProof/>
                <w:lang w:val="es-PE"/>
              </w:rPr>
              <w:drawing>
                <wp:inline distT="0" distB="0" distL="0" distR="0" wp14:anchorId="5C3C3947" wp14:editId="31B12175">
                  <wp:extent cx="2695575" cy="16198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5773" cy="1620004"/>
                          </a:xfrm>
                          <a:prstGeom prst="rect">
                            <a:avLst/>
                          </a:prstGeom>
                          <a:noFill/>
                          <a:ln>
                            <a:noFill/>
                          </a:ln>
                        </pic:spPr>
                      </pic:pic>
                    </a:graphicData>
                  </a:graphic>
                </wp:inline>
              </w:drawing>
            </w:r>
          </w:p>
        </w:tc>
        <w:tc>
          <w:tcPr>
            <w:tcW w:w="0" w:type="auto"/>
          </w:tcPr>
          <w:p w14:paraId="623D08B8" w14:textId="77777777" w:rsidR="001B1A71" w:rsidRDefault="001B1A71" w:rsidP="004346E8">
            <w:pPr>
              <w:rPr>
                <w:lang w:val="es-PE"/>
              </w:rPr>
            </w:pPr>
            <w:r w:rsidRPr="002B038A">
              <w:rPr>
                <w:noProof/>
                <w:lang w:val="es-PE"/>
              </w:rPr>
              <w:drawing>
                <wp:inline distT="0" distB="0" distL="0" distR="0" wp14:anchorId="5953EE9B" wp14:editId="35690A5D">
                  <wp:extent cx="27051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1705" cy="1623204"/>
                          </a:xfrm>
                          <a:prstGeom prst="rect">
                            <a:avLst/>
                          </a:prstGeom>
                          <a:noFill/>
                          <a:ln>
                            <a:noFill/>
                          </a:ln>
                        </pic:spPr>
                      </pic:pic>
                    </a:graphicData>
                  </a:graphic>
                </wp:inline>
              </w:drawing>
            </w:r>
          </w:p>
        </w:tc>
      </w:tr>
      <w:tr w:rsidR="001B1A71" w14:paraId="19408BB4" w14:textId="77777777" w:rsidTr="00A53D45">
        <w:trPr>
          <w:trHeight w:val="225"/>
        </w:trPr>
        <w:tc>
          <w:tcPr>
            <w:tcW w:w="0" w:type="auto"/>
          </w:tcPr>
          <w:p w14:paraId="254685FE" w14:textId="7579615F" w:rsidR="001B1A71" w:rsidRPr="004346E8" w:rsidRDefault="004346E8" w:rsidP="004346E8">
            <w:pPr>
              <w:rPr>
                <w:sz w:val="18"/>
                <w:szCs w:val="18"/>
                <w:lang w:val="es-PE"/>
              </w:rPr>
            </w:pPr>
            <w:r w:rsidRPr="004346E8">
              <w:rPr>
                <w:sz w:val="18"/>
                <w:szCs w:val="18"/>
                <w:lang w:val="es-PE"/>
              </w:rPr>
              <w:t xml:space="preserve">Fuente: Elaboración propia. </w:t>
            </w:r>
          </w:p>
        </w:tc>
        <w:tc>
          <w:tcPr>
            <w:tcW w:w="0" w:type="auto"/>
          </w:tcPr>
          <w:p w14:paraId="1D8F3066" w14:textId="77777777" w:rsidR="001B1A71" w:rsidRDefault="001B1A71" w:rsidP="004346E8">
            <w:pPr>
              <w:rPr>
                <w:lang w:val="es-PE"/>
              </w:rPr>
            </w:pPr>
          </w:p>
        </w:tc>
      </w:tr>
    </w:tbl>
    <w:p w14:paraId="246DCEDC" w14:textId="6D14B57A" w:rsidR="003C543A" w:rsidRPr="003C543A" w:rsidRDefault="00AA24F2" w:rsidP="00F56DAF">
      <w:pPr>
        <w:jc w:val="both"/>
        <w:rPr>
          <w:sz w:val="20"/>
          <w:szCs w:val="20"/>
          <w:lang w:val="es-PE"/>
        </w:rPr>
      </w:pPr>
      <w:r w:rsidRPr="000F2AE5">
        <w:rPr>
          <w:sz w:val="20"/>
          <w:szCs w:val="20"/>
          <w:lang w:val="es-PE"/>
        </w:rPr>
        <w:t>Las funciones impulso respuesta</w:t>
      </w:r>
      <w:r w:rsidRPr="000F2AE5">
        <w:rPr>
          <w:rStyle w:val="Refdenotaalpie"/>
          <w:sz w:val="20"/>
          <w:szCs w:val="20"/>
          <w:lang w:val="es-PE"/>
        </w:rPr>
        <w:footnoteReference w:id="8"/>
      </w:r>
      <w:r w:rsidRPr="000F2AE5">
        <w:rPr>
          <w:sz w:val="20"/>
          <w:szCs w:val="20"/>
          <w:lang w:val="es-PE"/>
        </w:rPr>
        <w:t xml:space="preserve"> indican que el </w:t>
      </w:r>
      <w:r w:rsidR="003D0038" w:rsidRPr="000F2AE5">
        <w:rPr>
          <w:sz w:val="20"/>
          <w:szCs w:val="20"/>
          <w:lang w:val="es-PE"/>
        </w:rPr>
        <w:t xml:space="preserve">PBI no primario responde de forma positiva a incrementos de los componentes del gasto público. En cuanto a la magnitud de la respuesta, se puede observar </w:t>
      </w:r>
      <w:r w:rsidR="004346E8" w:rsidRPr="000F2AE5">
        <w:rPr>
          <w:sz w:val="20"/>
          <w:szCs w:val="20"/>
          <w:lang w:val="es-PE"/>
        </w:rPr>
        <w:t>que,</w:t>
      </w:r>
      <w:r w:rsidR="003D0038" w:rsidRPr="000F2AE5">
        <w:rPr>
          <w:sz w:val="20"/>
          <w:szCs w:val="20"/>
          <w:lang w:val="es-PE"/>
        </w:rPr>
        <w:t xml:space="preserve"> </w:t>
      </w:r>
      <w:r w:rsidR="00DD5BAA" w:rsidRPr="000F2AE5">
        <w:rPr>
          <w:sz w:val="20"/>
          <w:szCs w:val="20"/>
          <w:lang w:val="es-PE"/>
        </w:rPr>
        <w:t>ante un aumento de una desviación estándar</w:t>
      </w:r>
      <w:r w:rsidR="004346E8" w:rsidRPr="000F2AE5">
        <w:rPr>
          <w:sz w:val="20"/>
          <w:szCs w:val="20"/>
          <w:lang w:val="es-PE"/>
        </w:rPr>
        <w:t xml:space="preserve"> del gasto público,</w:t>
      </w:r>
      <w:r w:rsidR="00DD5BAA" w:rsidRPr="000F2AE5">
        <w:rPr>
          <w:sz w:val="20"/>
          <w:szCs w:val="20"/>
          <w:lang w:val="es-PE"/>
        </w:rPr>
        <w:t xml:space="preserve"> el PBI no primario responde aumentando un 0,2% en el caso del gasto corriente, y un 0,8% en el caso del gasto de capital. </w:t>
      </w:r>
      <w:r w:rsidR="004346E8" w:rsidRPr="000F2AE5">
        <w:rPr>
          <w:sz w:val="20"/>
          <w:szCs w:val="20"/>
          <w:lang w:val="es-PE"/>
        </w:rPr>
        <w:t>De esto último se desprende que el componente de inversión pública es el que tiene mayores efectos sobre la economía y es uno que debería priorizarse en los contextos de adversidad.</w:t>
      </w:r>
    </w:p>
    <w:p w14:paraId="21A0DDDD" w14:textId="336C2E18" w:rsidR="003C543A" w:rsidRPr="003C543A" w:rsidRDefault="003C543A" w:rsidP="003C543A">
      <w:pPr>
        <w:rPr>
          <w:sz w:val="20"/>
          <w:szCs w:val="20"/>
          <w:lang w:val="es-PE"/>
        </w:rPr>
      </w:pPr>
    </w:p>
    <w:p w14:paraId="58311B25" w14:textId="6EEB3EC5" w:rsidR="003C543A" w:rsidRPr="003C543A" w:rsidRDefault="003C543A" w:rsidP="003C543A">
      <w:pPr>
        <w:rPr>
          <w:sz w:val="20"/>
          <w:szCs w:val="20"/>
          <w:lang w:val="es-PE"/>
        </w:rPr>
      </w:pPr>
    </w:p>
    <w:p w14:paraId="175DBAF8" w14:textId="10CE340E" w:rsidR="005C6F24" w:rsidRPr="005C6F24" w:rsidRDefault="005C6F24" w:rsidP="006F5FD2">
      <w:pPr>
        <w:spacing w:line="240" w:lineRule="auto"/>
        <w:jc w:val="both"/>
        <w:rPr>
          <w:sz w:val="20"/>
          <w:szCs w:val="20"/>
          <w:lang w:val="es-PE"/>
        </w:rPr>
      </w:pPr>
      <w:r>
        <w:rPr>
          <w:sz w:val="20"/>
          <w:szCs w:val="20"/>
          <w:lang w:val="es-PE"/>
        </w:rPr>
        <w:t>Con los insumos obtenidos d</w:t>
      </w:r>
      <w:r w:rsidRPr="005C6F24">
        <w:rPr>
          <w:sz w:val="20"/>
          <w:szCs w:val="20"/>
          <w:lang w:val="es-PE"/>
        </w:rPr>
        <w:t xml:space="preserve">espués de estimar el VAR Bayesiano, </w:t>
      </w:r>
      <w:r>
        <w:rPr>
          <w:sz w:val="20"/>
          <w:szCs w:val="20"/>
          <w:lang w:val="es-PE"/>
        </w:rPr>
        <w:t xml:space="preserve">estimamos </w:t>
      </w:r>
      <w:r w:rsidRPr="005C6F24">
        <w:rPr>
          <w:sz w:val="20"/>
          <w:szCs w:val="20"/>
          <w:lang w:val="es-PE"/>
        </w:rPr>
        <w:t>los multiplicadores fiscales</w:t>
      </w:r>
      <w:r>
        <w:rPr>
          <w:sz w:val="20"/>
          <w:szCs w:val="20"/>
          <w:lang w:val="es-PE"/>
        </w:rPr>
        <w:t xml:space="preserve"> de los componentes del gasto público</w:t>
      </w:r>
      <w:r w:rsidRPr="005C6F24">
        <w:rPr>
          <w:sz w:val="20"/>
          <w:szCs w:val="20"/>
          <w:lang w:val="es-PE"/>
        </w:rPr>
        <w:t>, para ello usaremos las funciones impulso respuesta IRF’s. Estimamos los multiplicadores a través de la siguiente ecuación:</w:t>
      </w:r>
    </w:p>
    <w:p w14:paraId="01DA7126" w14:textId="77777777" w:rsidR="005C6F24" w:rsidRPr="00B60E06" w:rsidRDefault="004D3801" w:rsidP="005C6F24">
      <w:pPr>
        <w:spacing w:line="360" w:lineRule="auto"/>
        <w:ind w:firstLine="39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t,H</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h=0</m:t>
                  </m:r>
                </m:sub>
                <m:sup>
                  <m:r>
                    <w:rPr>
                      <w:rFonts w:ascii="Cambria Math" w:eastAsiaTheme="minorEastAsia" w:hAnsi="Cambria Math" w:cs="Arial"/>
                      <w:sz w:val="24"/>
                      <w:szCs w:val="24"/>
                    </w:rPr>
                    <m:t>H</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t+h</m:t>
                      </m:r>
                    </m:sub>
                  </m:sSub>
                </m:e>
              </m:nary>
            </m:num>
            <m:den>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h=0</m:t>
                  </m:r>
                </m:sub>
                <m:sup>
                  <m:r>
                    <w:rPr>
                      <w:rFonts w:ascii="Cambria Math" w:eastAsiaTheme="minorEastAsia" w:hAnsi="Cambria Math" w:cs="Arial"/>
                      <w:sz w:val="24"/>
                      <w:szCs w:val="24"/>
                    </w:rPr>
                    <m:t>H</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t+h</m:t>
                      </m:r>
                    </m:sub>
                  </m:sSub>
                </m:e>
              </m:nary>
            </m:den>
          </m:f>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num>
                <m:den>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Z</m:t>
                      </m:r>
                    </m:e>
                  </m:acc>
                </m:den>
              </m:f>
            </m:e>
          </m:d>
        </m:oMath>
      </m:oMathPara>
    </w:p>
    <w:p w14:paraId="343362FF" w14:textId="4CF6732B" w:rsidR="005C6F24" w:rsidRDefault="005C6F24" w:rsidP="006F5FD2">
      <w:pPr>
        <w:spacing w:line="240" w:lineRule="auto"/>
        <w:jc w:val="both"/>
        <w:rPr>
          <w:sz w:val="20"/>
          <w:szCs w:val="20"/>
          <w:lang w:val="es-PE"/>
        </w:rPr>
      </w:pPr>
      <w:r w:rsidRPr="0098456D">
        <w:rPr>
          <w:sz w:val="20"/>
          <w:szCs w:val="20"/>
          <w:lang w:val="es-PE"/>
        </w:rPr>
        <w:lastRenderedPageBreak/>
        <w:t xml:space="preserve">Donde </w:t>
      </w:r>
      <m:oMath>
        <m:sSub>
          <m:sSubPr>
            <m:ctrlPr>
              <w:rPr>
                <w:rFonts w:ascii="Cambria Math" w:hAnsi="Cambria Math"/>
                <w:sz w:val="20"/>
                <w:szCs w:val="20"/>
                <w:lang w:val="es-PE"/>
              </w:rPr>
            </m:ctrlPr>
          </m:sSubPr>
          <m:e>
            <m:r>
              <w:rPr>
                <w:rFonts w:ascii="Cambria Math" w:hAnsi="Cambria Math"/>
                <w:sz w:val="20"/>
                <w:szCs w:val="20"/>
                <w:lang w:val="es-PE"/>
              </w:rPr>
              <m:t>m</m:t>
            </m:r>
          </m:e>
          <m:sub>
            <m:r>
              <w:rPr>
                <w:rFonts w:ascii="Cambria Math" w:hAnsi="Cambria Math"/>
                <w:sz w:val="20"/>
                <w:szCs w:val="20"/>
                <w:lang w:val="es-PE"/>
              </w:rPr>
              <m:t>t</m:t>
            </m:r>
            <m:r>
              <m:rPr>
                <m:sty m:val="p"/>
              </m:rPr>
              <w:rPr>
                <w:rFonts w:ascii="Cambria Math" w:hAnsi="Cambria Math"/>
                <w:sz w:val="20"/>
                <w:szCs w:val="20"/>
                <w:lang w:val="es-PE"/>
              </w:rPr>
              <m:t>+</m:t>
            </m:r>
            <m:r>
              <w:rPr>
                <w:rFonts w:ascii="Cambria Math" w:hAnsi="Cambria Math"/>
                <w:sz w:val="20"/>
                <w:szCs w:val="20"/>
                <w:lang w:val="es-PE"/>
              </w:rPr>
              <m:t>H</m:t>
            </m:r>
          </m:sub>
        </m:sSub>
      </m:oMath>
      <w:r w:rsidRPr="0098456D">
        <w:rPr>
          <w:sz w:val="20"/>
          <w:szCs w:val="20"/>
          <w:lang w:val="es-PE"/>
        </w:rPr>
        <w:t xml:space="preserve"> es el multiplicador fiscal en el periodo </w:t>
      </w:r>
      <m:oMath>
        <m:r>
          <w:rPr>
            <w:rFonts w:ascii="Cambria Math" w:hAnsi="Cambria Math"/>
            <w:sz w:val="20"/>
            <w:szCs w:val="20"/>
            <w:lang w:val="es-PE"/>
          </w:rPr>
          <m:t>t</m:t>
        </m:r>
      </m:oMath>
      <w:r w:rsidRPr="0098456D">
        <w:rPr>
          <w:sz w:val="20"/>
          <w:szCs w:val="20"/>
          <w:lang w:val="es-PE"/>
        </w:rPr>
        <w:t xml:space="preserve"> acumulado al horizonte </w:t>
      </w:r>
      <m:oMath>
        <m:r>
          <w:rPr>
            <w:rFonts w:ascii="Cambria Math" w:hAnsi="Cambria Math"/>
            <w:sz w:val="20"/>
            <w:szCs w:val="20"/>
            <w:lang w:val="es-PE"/>
          </w:rPr>
          <m:t>H</m:t>
        </m:r>
        <m:r>
          <m:rPr>
            <m:sty m:val="p"/>
          </m:rPr>
          <w:rPr>
            <w:rFonts w:ascii="Cambria Math" w:hAnsi="Cambria Math"/>
            <w:sz w:val="20"/>
            <w:szCs w:val="20"/>
            <w:lang w:val="es-PE"/>
          </w:rPr>
          <m:t>.</m:t>
        </m:r>
      </m:oMath>
      <w:r w:rsidRPr="0098456D">
        <w:rPr>
          <w:sz w:val="20"/>
          <w:szCs w:val="20"/>
          <w:lang w:val="es-PE"/>
        </w:rPr>
        <w:t xml:space="preserve"> A su vez, </w:t>
      </w:r>
      <m:oMath>
        <m:sSub>
          <m:sSubPr>
            <m:ctrlPr>
              <w:rPr>
                <w:rFonts w:ascii="Cambria Math" w:hAnsi="Cambria Math"/>
                <w:sz w:val="20"/>
                <w:szCs w:val="20"/>
                <w:lang w:val="es-PE"/>
              </w:rPr>
            </m:ctrlPr>
          </m:sSubPr>
          <m:e>
            <m:r>
              <w:rPr>
                <w:rFonts w:ascii="Cambria Math" w:hAnsi="Cambria Math"/>
                <w:sz w:val="20"/>
                <w:szCs w:val="20"/>
                <w:lang w:val="es-PE"/>
              </w:rPr>
              <m:t>y</m:t>
            </m:r>
          </m:e>
          <m:sub>
            <m:r>
              <w:rPr>
                <w:rFonts w:ascii="Cambria Math" w:hAnsi="Cambria Math"/>
                <w:sz w:val="20"/>
                <w:szCs w:val="20"/>
                <w:lang w:val="es-PE"/>
              </w:rPr>
              <m:t>t</m:t>
            </m:r>
            <m:r>
              <m:rPr>
                <m:sty m:val="p"/>
              </m:rPr>
              <w:rPr>
                <w:rFonts w:ascii="Cambria Math" w:hAnsi="Cambria Math"/>
                <w:sz w:val="20"/>
                <w:szCs w:val="20"/>
                <w:lang w:val="es-PE"/>
              </w:rPr>
              <m:t>+</m:t>
            </m:r>
            <m:r>
              <w:rPr>
                <w:rFonts w:ascii="Cambria Math" w:hAnsi="Cambria Math"/>
                <w:sz w:val="20"/>
                <w:szCs w:val="20"/>
                <w:lang w:val="es-PE"/>
              </w:rPr>
              <m:t>h</m:t>
            </m:r>
          </m:sub>
        </m:sSub>
      </m:oMath>
      <w:r w:rsidRPr="0098456D">
        <w:rPr>
          <w:sz w:val="20"/>
          <w:szCs w:val="20"/>
          <w:lang w:val="es-PE"/>
        </w:rPr>
        <w:t xml:space="preserve"> representa la respuesta del PBI a un cambio estructural en alguna variable fiscal en el periodo </w:t>
      </w:r>
      <m:oMath>
        <m:r>
          <w:rPr>
            <w:rFonts w:ascii="Cambria Math" w:hAnsi="Cambria Math"/>
            <w:sz w:val="20"/>
            <w:szCs w:val="20"/>
            <w:lang w:val="es-PE"/>
          </w:rPr>
          <m:t>t</m:t>
        </m:r>
        <m:r>
          <m:rPr>
            <m:sty m:val="p"/>
          </m:rPr>
          <w:rPr>
            <w:rFonts w:ascii="Cambria Math" w:hAnsi="Cambria Math"/>
            <w:sz w:val="20"/>
            <w:szCs w:val="20"/>
            <w:lang w:val="es-PE"/>
          </w:rPr>
          <m:t>+</m:t>
        </m:r>
        <m:r>
          <w:rPr>
            <w:rFonts w:ascii="Cambria Math" w:hAnsi="Cambria Math"/>
            <w:sz w:val="20"/>
            <w:szCs w:val="20"/>
            <w:lang w:val="es-PE"/>
          </w:rPr>
          <m:t>h</m:t>
        </m:r>
      </m:oMath>
      <w:r w:rsidRPr="0098456D">
        <w:rPr>
          <w:sz w:val="20"/>
          <w:szCs w:val="20"/>
          <w:lang w:val="es-PE"/>
        </w:rPr>
        <w:t xml:space="preserve">, es decir, es la IRF del PBI ante un shock fiscal. Por otro lado, </w:t>
      </w:r>
      <m:oMath>
        <m:sSub>
          <m:sSubPr>
            <m:ctrlPr>
              <w:rPr>
                <w:rFonts w:ascii="Cambria Math" w:hAnsi="Cambria Math"/>
                <w:sz w:val="20"/>
                <w:szCs w:val="20"/>
                <w:lang w:val="es-PE"/>
              </w:rPr>
            </m:ctrlPr>
          </m:sSubPr>
          <m:e>
            <m:r>
              <w:rPr>
                <w:rFonts w:ascii="Cambria Math" w:hAnsi="Cambria Math"/>
                <w:sz w:val="20"/>
                <w:szCs w:val="20"/>
                <w:lang w:val="es-PE"/>
              </w:rPr>
              <m:t>z</m:t>
            </m:r>
          </m:e>
          <m:sub>
            <m:r>
              <w:rPr>
                <w:rFonts w:ascii="Cambria Math" w:hAnsi="Cambria Math"/>
                <w:sz w:val="20"/>
                <w:szCs w:val="20"/>
                <w:lang w:val="es-PE"/>
              </w:rPr>
              <m:t>t</m:t>
            </m:r>
            <m:r>
              <m:rPr>
                <m:sty m:val="p"/>
              </m:rPr>
              <w:rPr>
                <w:rFonts w:ascii="Cambria Math" w:hAnsi="Cambria Math"/>
                <w:sz w:val="20"/>
                <w:szCs w:val="20"/>
                <w:lang w:val="es-PE"/>
              </w:rPr>
              <m:t>+</m:t>
            </m:r>
            <m:r>
              <w:rPr>
                <w:rFonts w:ascii="Cambria Math" w:hAnsi="Cambria Math"/>
                <w:sz w:val="20"/>
                <w:szCs w:val="20"/>
                <w:lang w:val="es-PE"/>
              </w:rPr>
              <m:t>h</m:t>
            </m:r>
          </m:sub>
        </m:sSub>
      </m:oMath>
      <w:r w:rsidRPr="0098456D">
        <w:rPr>
          <w:sz w:val="20"/>
          <w:szCs w:val="20"/>
          <w:lang w:val="es-PE"/>
        </w:rPr>
        <w:t xml:space="preserve"> es la respuesta de la variable fiscal a un shock estructural de la misma variable en el periodo </w:t>
      </w:r>
      <m:oMath>
        <m:r>
          <w:rPr>
            <w:rFonts w:ascii="Cambria Math" w:hAnsi="Cambria Math"/>
            <w:sz w:val="20"/>
            <w:szCs w:val="20"/>
            <w:lang w:val="es-PE"/>
          </w:rPr>
          <m:t>t</m:t>
        </m:r>
        <m:r>
          <m:rPr>
            <m:sty m:val="p"/>
          </m:rPr>
          <w:rPr>
            <w:rFonts w:ascii="Cambria Math" w:hAnsi="Cambria Math"/>
            <w:sz w:val="20"/>
            <w:szCs w:val="20"/>
            <w:lang w:val="es-PE"/>
          </w:rPr>
          <m:t>+</m:t>
        </m:r>
        <m:r>
          <w:rPr>
            <w:rFonts w:ascii="Cambria Math" w:hAnsi="Cambria Math"/>
            <w:sz w:val="20"/>
            <w:szCs w:val="20"/>
            <w:lang w:val="es-PE"/>
          </w:rPr>
          <m:t>h</m:t>
        </m:r>
      </m:oMath>
      <w:r w:rsidRPr="0098456D">
        <w:rPr>
          <w:sz w:val="20"/>
          <w:szCs w:val="20"/>
          <w:lang w:val="es-PE"/>
        </w:rPr>
        <w:t xml:space="preserve">. Asimismo, </w:t>
      </w:r>
      <m:oMath>
        <m:acc>
          <m:accPr>
            <m:chr m:val="̅"/>
            <m:ctrlPr>
              <w:rPr>
                <w:rFonts w:ascii="Cambria Math" w:hAnsi="Cambria Math"/>
                <w:sz w:val="20"/>
                <w:szCs w:val="20"/>
                <w:lang w:val="es-PE"/>
              </w:rPr>
            </m:ctrlPr>
          </m:accPr>
          <m:e>
            <m:r>
              <w:rPr>
                <w:rFonts w:ascii="Cambria Math" w:hAnsi="Cambria Math"/>
                <w:sz w:val="20"/>
                <w:szCs w:val="20"/>
                <w:lang w:val="es-PE"/>
              </w:rPr>
              <m:t>Y</m:t>
            </m:r>
          </m:e>
        </m:acc>
      </m:oMath>
      <w:r w:rsidRPr="0098456D">
        <w:rPr>
          <w:sz w:val="20"/>
          <w:szCs w:val="20"/>
          <w:lang w:val="es-PE"/>
        </w:rPr>
        <w:t xml:space="preserve"> es el PBI promedio para toda la muestra. Y de la misma manera, </w:t>
      </w:r>
      <m:oMath>
        <m:acc>
          <m:accPr>
            <m:chr m:val="̅"/>
            <m:ctrlPr>
              <w:rPr>
                <w:rFonts w:ascii="Cambria Math" w:hAnsi="Cambria Math"/>
                <w:sz w:val="20"/>
                <w:szCs w:val="20"/>
                <w:lang w:val="es-PE"/>
              </w:rPr>
            </m:ctrlPr>
          </m:accPr>
          <m:e>
            <m:r>
              <w:rPr>
                <w:rFonts w:ascii="Cambria Math" w:hAnsi="Cambria Math"/>
                <w:sz w:val="20"/>
                <w:szCs w:val="20"/>
                <w:lang w:val="es-PE"/>
              </w:rPr>
              <m:t>Z</m:t>
            </m:r>
          </m:e>
        </m:acc>
      </m:oMath>
      <w:r w:rsidRPr="0098456D">
        <w:rPr>
          <w:sz w:val="20"/>
          <w:szCs w:val="20"/>
          <w:lang w:val="es-PE"/>
        </w:rPr>
        <w:t xml:space="preserve"> representa el valor promedio de la variable fiscal de toda la muestra. </w:t>
      </w:r>
    </w:p>
    <w:p w14:paraId="25AD1E73" w14:textId="07C9DCBE" w:rsidR="006F5FD2" w:rsidRPr="0098456D" w:rsidRDefault="00630F46" w:rsidP="006F5FD2">
      <w:pPr>
        <w:spacing w:line="360" w:lineRule="auto"/>
        <w:jc w:val="center"/>
        <w:rPr>
          <w:sz w:val="20"/>
          <w:szCs w:val="20"/>
          <w:lang w:val="es-PE"/>
        </w:rPr>
      </w:pPr>
      <w:r w:rsidRPr="00630F46">
        <w:rPr>
          <w:noProof/>
        </w:rPr>
        <w:drawing>
          <wp:inline distT="0" distB="0" distL="0" distR="0" wp14:anchorId="53B5C8E1" wp14:editId="468F7009">
            <wp:extent cx="5305425" cy="981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981075"/>
                    </a:xfrm>
                    <a:prstGeom prst="rect">
                      <a:avLst/>
                    </a:prstGeom>
                    <a:noFill/>
                    <a:ln>
                      <a:noFill/>
                    </a:ln>
                  </pic:spPr>
                </pic:pic>
              </a:graphicData>
            </a:graphic>
          </wp:inline>
        </w:drawing>
      </w:r>
    </w:p>
    <w:p w14:paraId="56AC496D" w14:textId="3AB7BE7D" w:rsidR="009A7C45" w:rsidRDefault="00630F46" w:rsidP="007F15CA">
      <w:pPr>
        <w:jc w:val="both"/>
        <w:rPr>
          <w:sz w:val="20"/>
          <w:szCs w:val="20"/>
          <w:lang w:val="es-US"/>
        </w:rPr>
      </w:pPr>
      <w:r w:rsidRPr="007F15CA">
        <w:rPr>
          <w:sz w:val="20"/>
          <w:szCs w:val="20"/>
          <w:lang w:val="es-US"/>
        </w:rPr>
        <w:t xml:space="preserve">Así, el modelo muestra </w:t>
      </w:r>
      <w:r w:rsidR="003E6E39" w:rsidRPr="007F15CA">
        <w:rPr>
          <w:sz w:val="20"/>
          <w:szCs w:val="20"/>
          <w:lang w:val="es-US"/>
        </w:rPr>
        <w:t>que,</w:t>
      </w:r>
      <w:r w:rsidR="006327A9" w:rsidRPr="007F15CA">
        <w:rPr>
          <w:sz w:val="20"/>
          <w:szCs w:val="20"/>
          <w:lang w:val="es-US"/>
        </w:rPr>
        <w:t xml:space="preserve"> en la media, un</w:t>
      </w:r>
      <w:r w:rsidRPr="007F15CA">
        <w:rPr>
          <w:sz w:val="20"/>
          <w:szCs w:val="20"/>
          <w:lang w:val="es-US"/>
        </w:rPr>
        <w:t xml:space="preserve"> nuevo sol de mayor gasto corriente generaría 33 céntimos de PBI en el primer trimestre, y 73 céntimos al cabo de un año. </w:t>
      </w:r>
      <w:r w:rsidR="006327A9" w:rsidRPr="007F15CA">
        <w:rPr>
          <w:sz w:val="20"/>
          <w:szCs w:val="20"/>
          <w:lang w:val="es-US"/>
        </w:rPr>
        <w:t xml:space="preserve">Del mismo modo, </w:t>
      </w:r>
      <w:r w:rsidRPr="007F15CA">
        <w:rPr>
          <w:sz w:val="20"/>
          <w:szCs w:val="20"/>
          <w:lang w:val="es-US"/>
        </w:rPr>
        <w:t>un nuevo sol de mayor gasto de capital generaría 7</w:t>
      </w:r>
      <w:r w:rsidR="006327A9" w:rsidRPr="007F15CA">
        <w:rPr>
          <w:sz w:val="20"/>
          <w:szCs w:val="20"/>
          <w:lang w:val="es-US"/>
        </w:rPr>
        <w:t>9</w:t>
      </w:r>
      <w:r w:rsidRPr="007F15CA">
        <w:rPr>
          <w:sz w:val="20"/>
          <w:szCs w:val="20"/>
          <w:lang w:val="es-US"/>
        </w:rPr>
        <w:t xml:space="preserve"> c</w:t>
      </w:r>
      <w:r w:rsidR="006327A9" w:rsidRPr="007F15CA">
        <w:rPr>
          <w:sz w:val="20"/>
          <w:szCs w:val="20"/>
          <w:lang w:val="es-US"/>
        </w:rPr>
        <w:t>éntimos</w:t>
      </w:r>
      <w:r w:rsidRPr="007F15CA">
        <w:rPr>
          <w:sz w:val="20"/>
          <w:szCs w:val="20"/>
          <w:lang w:val="es-US"/>
        </w:rPr>
        <w:t xml:space="preserve"> de PBI</w:t>
      </w:r>
      <w:r w:rsidR="006327A9" w:rsidRPr="007F15CA">
        <w:rPr>
          <w:sz w:val="20"/>
          <w:szCs w:val="20"/>
          <w:lang w:val="es-US"/>
        </w:rPr>
        <w:t xml:space="preserve"> en el primer trimestre y 99 céntimos al cabo de un año. </w:t>
      </w:r>
    </w:p>
    <w:p w14:paraId="361386F2" w14:textId="0AF6D648" w:rsidR="009A7C45" w:rsidRDefault="009A7C45" w:rsidP="009A7C45">
      <w:pPr>
        <w:jc w:val="both"/>
        <w:rPr>
          <w:sz w:val="20"/>
          <w:szCs w:val="20"/>
          <w:lang w:val="es-US"/>
        </w:rPr>
      </w:pPr>
      <w:r>
        <w:rPr>
          <w:sz w:val="20"/>
          <w:szCs w:val="20"/>
          <w:lang w:val="es-US"/>
        </w:rPr>
        <w:t xml:space="preserve">Se concluye que, tanto para el gasto corriente como de capital, el efecto de un aumento de los mismos tiene un efecto positivo en la actividad económica. De estos componentes del gasto público, el gasto de capital cuenta con un mayor efecto sobre la economía, superando al gasto de capital tanto en el impacto como después de un año de aumentarse en un sol el componente del gasto. </w:t>
      </w:r>
    </w:p>
    <w:p w14:paraId="2AF20F4C" w14:textId="1C485168" w:rsidR="00F05236" w:rsidRDefault="009A7C45" w:rsidP="007F15CA">
      <w:pPr>
        <w:jc w:val="both"/>
        <w:rPr>
          <w:sz w:val="20"/>
          <w:szCs w:val="20"/>
          <w:lang w:val="es-US"/>
        </w:rPr>
      </w:pPr>
      <w:r>
        <w:rPr>
          <w:sz w:val="20"/>
          <w:szCs w:val="20"/>
          <w:lang w:val="es-US"/>
        </w:rPr>
        <w:t>De lo anterior se puede desprender que, la política fiscal para controlar fluctuaciones económicas puede ser más efectiva si se utiliza el gasto de capital.</w:t>
      </w:r>
      <w:r w:rsidR="00353C18">
        <w:rPr>
          <w:sz w:val="20"/>
          <w:szCs w:val="20"/>
          <w:lang w:val="es-US"/>
        </w:rPr>
        <w:t xml:space="preserve"> No solo es un componente con mayor efecto, sino que, tiene menor rigidez a que se le apliquen cambios. Esto pues ya que el gasto corriente gasta en remuneraciones, bienes, y servicios, es difícil prescindir de ellos y además </w:t>
      </w:r>
      <w:r w:rsidR="00F05236">
        <w:rPr>
          <w:sz w:val="20"/>
          <w:szCs w:val="20"/>
          <w:lang w:val="es-US"/>
        </w:rPr>
        <w:t xml:space="preserve">implicaría tomar medidas menos aceptadas como una reducción en los salarios. Por el contrario, la inversión pública no </w:t>
      </w:r>
      <w:r w:rsidR="00373726">
        <w:rPr>
          <w:sz w:val="20"/>
          <w:szCs w:val="20"/>
          <w:lang w:val="es-US"/>
        </w:rPr>
        <w:t>implica necesariamente</w:t>
      </w:r>
      <w:r w:rsidR="00F05236">
        <w:rPr>
          <w:sz w:val="20"/>
          <w:szCs w:val="20"/>
          <w:lang w:val="es-US"/>
        </w:rPr>
        <w:t xml:space="preserve"> gastos recurrentes por lo que es más sencillo </w:t>
      </w:r>
      <w:r w:rsidR="00373726">
        <w:rPr>
          <w:sz w:val="20"/>
          <w:szCs w:val="20"/>
          <w:lang w:val="es-US"/>
        </w:rPr>
        <w:t>prescindir de ellas en el caso que se requiera una política contractiva</w:t>
      </w:r>
      <w:r w:rsidR="00F05236">
        <w:rPr>
          <w:sz w:val="20"/>
          <w:szCs w:val="20"/>
          <w:lang w:val="es-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3C543A" w14:paraId="16486EC9" w14:textId="77777777" w:rsidTr="003C543A">
        <w:tc>
          <w:tcPr>
            <w:tcW w:w="8828" w:type="dxa"/>
          </w:tcPr>
          <w:p w14:paraId="71586D9F" w14:textId="5E23712E" w:rsidR="00B06ADA" w:rsidRDefault="009A7C45" w:rsidP="00373726">
            <w:pPr>
              <w:ind w:left="-105"/>
              <w:jc w:val="both"/>
              <w:rPr>
                <w:sz w:val="20"/>
                <w:szCs w:val="20"/>
                <w:lang w:val="es-US"/>
              </w:rPr>
            </w:pPr>
            <w:r>
              <w:rPr>
                <w:sz w:val="20"/>
                <w:szCs w:val="20"/>
                <w:lang w:val="es-US"/>
              </w:rPr>
              <w:t xml:space="preserve">Sin embargo, como advierte el </w:t>
            </w:r>
            <w:r w:rsidR="00F05236">
              <w:rPr>
                <w:sz w:val="20"/>
                <w:szCs w:val="20"/>
                <w:lang w:val="es-US"/>
              </w:rPr>
              <w:t>FMI</w:t>
            </w:r>
            <w:r w:rsidR="00537AAC">
              <w:rPr>
                <w:sz w:val="20"/>
                <w:szCs w:val="20"/>
                <w:lang w:val="es-US"/>
              </w:rPr>
              <w:t xml:space="preserve"> (2020)</w:t>
            </w:r>
            <w:r w:rsidR="00F05236">
              <w:rPr>
                <w:sz w:val="20"/>
                <w:szCs w:val="20"/>
                <w:lang w:val="es-US"/>
              </w:rPr>
              <w:t xml:space="preserve">, optar por una política contractiva que reduzca la inversión pública puede no ser lo mejor, ya que esta es importante para el crecimiento potencial de la economía. Asimismo, se debe evitar creer que las políticas de aumento del gasto corriente son </w:t>
            </w:r>
            <w:r w:rsidR="00B06ADA">
              <w:rPr>
                <w:sz w:val="20"/>
                <w:szCs w:val="20"/>
                <w:lang w:val="es-US"/>
              </w:rPr>
              <w:t>todas contraproducentes. Si bien, una medida de este tipo incrementa los gastos de forma permanente, es importante reconocer que estas fortalecen la calidad de los servicios que el estado provee, como es el caso de la educación que forma el capital humano.</w:t>
            </w:r>
          </w:p>
          <w:p w14:paraId="06C7074F" w14:textId="7A2B7C9C" w:rsidR="00B06ADA" w:rsidRDefault="00B06ADA" w:rsidP="00373726">
            <w:pPr>
              <w:ind w:left="-105"/>
              <w:jc w:val="both"/>
              <w:rPr>
                <w:sz w:val="20"/>
                <w:szCs w:val="20"/>
                <w:lang w:val="es-US"/>
              </w:rPr>
            </w:pPr>
            <w:r>
              <w:rPr>
                <w:sz w:val="20"/>
                <w:szCs w:val="20"/>
                <w:lang w:val="es-US"/>
              </w:rPr>
              <w:t xml:space="preserve"> </w:t>
            </w:r>
          </w:p>
          <w:p w14:paraId="1084EC92" w14:textId="77777777" w:rsidR="00B06ADA" w:rsidRDefault="00B06ADA" w:rsidP="00373726">
            <w:pPr>
              <w:ind w:left="-105"/>
              <w:rPr>
                <w:sz w:val="20"/>
                <w:szCs w:val="20"/>
                <w:lang w:val="es-PE"/>
              </w:rPr>
            </w:pPr>
          </w:p>
          <w:p w14:paraId="4681124A" w14:textId="77777777" w:rsidR="00B06ADA" w:rsidRDefault="00B06ADA" w:rsidP="00373726">
            <w:pPr>
              <w:ind w:left="-105"/>
              <w:rPr>
                <w:sz w:val="20"/>
                <w:szCs w:val="20"/>
                <w:lang w:val="es-PE"/>
              </w:rPr>
            </w:pPr>
          </w:p>
          <w:p w14:paraId="152CF099" w14:textId="77777777" w:rsidR="00B06ADA" w:rsidRDefault="00B06ADA" w:rsidP="00373726">
            <w:pPr>
              <w:ind w:left="-105"/>
              <w:rPr>
                <w:sz w:val="20"/>
                <w:szCs w:val="20"/>
                <w:lang w:val="es-PE"/>
              </w:rPr>
            </w:pPr>
          </w:p>
          <w:p w14:paraId="45883AE6" w14:textId="60A781D7" w:rsidR="003C543A" w:rsidRDefault="003C543A" w:rsidP="00373726">
            <w:pPr>
              <w:ind w:left="-105"/>
              <w:rPr>
                <w:sz w:val="20"/>
                <w:szCs w:val="20"/>
                <w:lang w:val="es-PE"/>
              </w:rPr>
            </w:pPr>
            <w:r>
              <w:rPr>
                <w:sz w:val="20"/>
                <w:szCs w:val="20"/>
                <w:lang w:val="es-PE"/>
              </w:rPr>
              <w:t xml:space="preserve">Anexo 1. </w:t>
            </w:r>
          </w:p>
        </w:tc>
      </w:tr>
      <w:tr w:rsidR="003C543A" w14:paraId="6136078E" w14:textId="77777777" w:rsidTr="003C543A">
        <w:tc>
          <w:tcPr>
            <w:tcW w:w="8828" w:type="dxa"/>
          </w:tcPr>
          <w:p w14:paraId="73CED7B4" w14:textId="5A07A551" w:rsidR="003C543A" w:rsidRDefault="003C543A" w:rsidP="003C543A">
            <w:pPr>
              <w:jc w:val="center"/>
              <w:rPr>
                <w:sz w:val="20"/>
                <w:szCs w:val="20"/>
                <w:lang w:val="es-PE"/>
              </w:rPr>
            </w:pPr>
            <w:r w:rsidRPr="003C543A">
              <w:rPr>
                <w:noProof/>
                <w:sz w:val="20"/>
                <w:szCs w:val="20"/>
                <w:lang w:val="es-PE"/>
              </w:rPr>
              <w:lastRenderedPageBreak/>
              <w:drawing>
                <wp:inline distT="0" distB="0" distL="0" distR="0" wp14:anchorId="2AC2ACCC" wp14:editId="10B06461">
                  <wp:extent cx="362902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2286000"/>
                          </a:xfrm>
                          <a:prstGeom prst="rect">
                            <a:avLst/>
                          </a:prstGeom>
                          <a:noFill/>
                          <a:ln>
                            <a:noFill/>
                          </a:ln>
                        </pic:spPr>
                      </pic:pic>
                    </a:graphicData>
                  </a:graphic>
                </wp:inline>
              </w:drawing>
            </w:r>
          </w:p>
        </w:tc>
      </w:tr>
      <w:tr w:rsidR="003C543A" w14:paraId="780DD71C" w14:textId="77777777" w:rsidTr="003C543A">
        <w:tc>
          <w:tcPr>
            <w:tcW w:w="8828" w:type="dxa"/>
          </w:tcPr>
          <w:p w14:paraId="70CCB377" w14:textId="77777777" w:rsidR="003C543A" w:rsidRDefault="003C543A" w:rsidP="003C543A">
            <w:pPr>
              <w:rPr>
                <w:sz w:val="20"/>
                <w:szCs w:val="20"/>
                <w:lang w:val="es-PE"/>
              </w:rPr>
            </w:pPr>
          </w:p>
        </w:tc>
      </w:tr>
    </w:tbl>
    <w:p w14:paraId="0F226612" w14:textId="77777777" w:rsidR="003C543A" w:rsidRPr="003C543A" w:rsidRDefault="003C543A" w:rsidP="003C543A">
      <w:pPr>
        <w:ind w:firstLine="720"/>
        <w:rPr>
          <w:sz w:val="20"/>
          <w:szCs w:val="20"/>
          <w:lang w:val="es-PE"/>
        </w:rPr>
      </w:pPr>
    </w:p>
    <w:p w14:paraId="0AC22A9D" w14:textId="415475B1" w:rsidR="007F15CA" w:rsidRDefault="007F15CA" w:rsidP="003C543A">
      <w:pPr>
        <w:rPr>
          <w:sz w:val="20"/>
          <w:szCs w:val="20"/>
          <w:lang w:val="es-PE"/>
        </w:rPr>
      </w:pPr>
      <w:r>
        <w:rPr>
          <w:sz w:val="20"/>
          <w:szCs w:val="20"/>
          <w:lang w:val="es-PE"/>
        </w:rPr>
        <w:t xml:space="preserve">Bibliografía: </w:t>
      </w:r>
    </w:p>
    <w:p w14:paraId="6033DE37" w14:textId="1E43C9B3" w:rsidR="00A1553C" w:rsidRPr="00A1553C" w:rsidRDefault="00A1553C" w:rsidP="00A1553C">
      <w:pPr>
        <w:spacing w:after="0" w:line="360" w:lineRule="auto"/>
        <w:jc w:val="both"/>
        <w:rPr>
          <w:rFonts w:ascii="Arial" w:hAnsi="Arial" w:cs="Arial"/>
          <w:sz w:val="20"/>
          <w:szCs w:val="20"/>
        </w:rPr>
      </w:pPr>
      <w:r w:rsidRPr="00A1553C">
        <w:rPr>
          <w:rFonts w:ascii="Arial" w:hAnsi="Arial" w:cs="Arial"/>
          <w:sz w:val="20"/>
          <w:szCs w:val="20"/>
        </w:rPr>
        <w:t xml:space="preserve">BCRP (2012). </w:t>
      </w:r>
      <w:proofErr w:type="spellStart"/>
      <w:r w:rsidRPr="00A1553C">
        <w:rPr>
          <w:rFonts w:ascii="Arial" w:hAnsi="Arial" w:cs="Arial"/>
          <w:sz w:val="20"/>
          <w:szCs w:val="20"/>
        </w:rPr>
        <w:t>Reporte</w:t>
      </w:r>
      <w:proofErr w:type="spellEnd"/>
      <w:r w:rsidRPr="00A1553C">
        <w:rPr>
          <w:rFonts w:ascii="Arial" w:hAnsi="Arial" w:cs="Arial"/>
          <w:sz w:val="20"/>
          <w:szCs w:val="20"/>
        </w:rPr>
        <w:t xml:space="preserve"> de </w:t>
      </w:r>
      <w:proofErr w:type="spellStart"/>
      <w:r w:rsidRPr="00A1553C">
        <w:rPr>
          <w:rFonts w:ascii="Arial" w:hAnsi="Arial" w:cs="Arial"/>
          <w:sz w:val="20"/>
          <w:szCs w:val="20"/>
        </w:rPr>
        <w:t>Inflación</w:t>
      </w:r>
      <w:proofErr w:type="spellEnd"/>
      <w:r w:rsidRPr="00A1553C">
        <w:rPr>
          <w:rFonts w:ascii="Arial" w:hAnsi="Arial" w:cs="Arial"/>
          <w:sz w:val="20"/>
          <w:szCs w:val="20"/>
        </w:rPr>
        <w:t xml:space="preserve"> - </w:t>
      </w:r>
      <w:proofErr w:type="spellStart"/>
      <w:r w:rsidRPr="00A1553C">
        <w:rPr>
          <w:rFonts w:ascii="Arial" w:hAnsi="Arial" w:cs="Arial"/>
          <w:sz w:val="20"/>
          <w:szCs w:val="20"/>
        </w:rPr>
        <w:t>Diciembre</w:t>
      </w:r>
      <w:proofErr w:type="spellEnd"/>
      <w:r w:rsidRPr="00A1553C">
        <w:rPr>
          <w:rFonts w:ascii="Arial" w:hAnsi="Arial" w:cs="Arial"/>
          <w:sz w:val="20"/>
          <w:szCs w:val="20"/>
        </w:rPr>
        <w:t xml:space="preserve"> 2012.</w:t>
      </w:r>
    </w:p>
    <w:p w14:paraId="632B4962" w14:textId="77777777" w:rsidR="007F15CA" w:rsidRPr="007F15CA" w:rsidRDefault="007F15CA" w:rsidP="007F15CA">
      <w:pPr>
        <w:spacing w:after="0" w:line="240" w:lineRule="auto"/>
        <w:jc w:val="both"/>
        <w:rPr>
          <w:rFonts w:ascii="Arial" w:hAnsi="Arial" w:cs="Arial"/>
          <w:sz w:val="20"/>
          <w:szCs w:val="20"/>
        </w:rPr>
      </w:pPr>
      <w:r w:rsidRPr="007F15CA">
        <w:rPr>
          <w:rFonts w:ascii="Arial" w:hAnsi="Arial" w:cs="Arial"/>
          <w:sz w:val="20"/>
          <w:szCs w:val="20"/>
        </w:rPr>
        <w:t xml:space="preserve">Dieppe, Alistair, van </w:t>
      </w:r>
      <w:proofErr w:type="spellStart"/>
      <w:r w:rsidRPr="007F15CA">
        <w:rPr>
          <w:rFonts w:ascii="Arial" w:hAnsi="Arial" w:cs="Arial"/>
          <w:sz w:val="20"/>
          <w:szCs w:val="20"/>
        </w:rPr>
        <w:t>Roye</w:t>
      </w:r>
      <w:proofErr w:type="spellEnd"/>
      <w:r w:rsidRPr="007F15CA">
        <w:rPr>
          <w:rFonts w:ascii="Arial" w:hAnsi="Arial" w:cs="Arial"/>
          <w:sz w:val="20"/>
          <w:szCs w:val="20"/>
        </w:rPr>
        <w:t xml:space="preserve">, Björn, Legrand, Romain (2018). “Bayesian Estimation, Analysis and Regression toolbox (BEAR)”. </w:t>
      </w:r>
      <w:proofErr w:type="spellStart"/>
      <w:r w:rsidRPr="007F15CA">
        <w:rPr>
          <w:rFonts w:ascii="Arial" w:hAnsi="Arial" w:cs="Arial"/>
          <w:sz w:val="20"/>
          <w:szCs w:val="20"/>
        </w:rPr>
        <w:t>Eurpean</w:t>
      </w:r>
      <w:proofErr w:type="spellEnd"/>
      <w:r w:rsidRPr="007F15CA">
        <w:rPr>
          <w:rFonts w:ascii="Arial" w:hAnsi="Arial" w:cs="Arial"/>
          <w:sz w:val="20"/>
          <w:szCs w:val="20"/>
        </w:rPr>
        <w:t xml:space="preserve"> Central Bank.</w:t>
      </w:r>
    </w:p>
    <w:p w14:paraId="2D6CD3B4" w14:textId="0EAB2B84" w:rsidR="003C543A" w:rsidRPr="007F15CA" w:rsidRDefault="004D3801" w:rsidP="007F15CA">
      <w:pPr>
        <w:rPr>
          <w:sz w:val="20"/>
          <w:szCs w:val="20"/>
          <w:lang w:val="es-PE"/>
        </w:rPr>
      </w:pPr>
      <w:hyperlink r:id="rId21" w:history="1">
        <w:r w:rsidR="007F15CA" w:rsidRPr="007F15CA">
          <w:rPr>
            <w:rStyle w:val="Hipervnculo"/>
            <w:rFonts w:ascii="Arial" w:hAnsi="Arial" w:cs="Arial"/>
            <w:sz w:val="20"/>
            <w:szCs w:val="20"/>
          </w:rPr>
          <w:t>https://www.ecb.europa.eu/pub/research/working-papers/html/bear-toolbox.en.html</w:t>
        </w:r>
      </w:hyperlink>
    </w:p>
    <w:p w14:paraId="32F59635" w14:textId="33BDDFDE" w:rsidR="00B61087" w:rsidRDefault="00B61087" w:rsidP="003C543A">
      <w:pPr>
        <w:rPr>
          <w:sz w:val="20"/>
          <w:szCs w:val="20"/>
          <w:lang w:val="es-PE"/>
        </w:rPr>
      </w:pPr>
      <w:r>
        <w:rPr>
          <w:sz w:val="20"/>
          <w:szCs w:val="20"/>
          <w:lang w:val="es-PE"/>
        </w:rPr>
        <w:t>FMI (2020). “Inversión pública para la recuperación”. En Fiscal Monitor octubre 2020.</w:t>
      </w:r>
    </w:p>
    <w:p w14:paraId="13E7901D" w14:textId="7697A72E" w:rsidR="00C663EB" w:rsidRPr="00A1553C" w:rsidRDefault="00C663EB" w:rsidP="003C543A">
      <w:pPr>
        <w:rPr>
          <w:sz w:val="20"/>
          <w:szCs w:val="20"/>
          <w:lang w:val="es-PE"/>
        </w:rPr>
      </w:pPr>
      <w:r>
        <w:rPr>
          <w:sz w:val="20"/>
          <w:szCs w:val="20"/>
          <w:lang w:val="es-PE"/>
        </w:rPr>
        <w:t xml:space="preserve">Izquierdo, Puig y </w:t>
      </w:r>
      <w:proofErr w:type="spellStart"/>
      <w:r>
        <w:rPr>
          <w:sz w:val="20"/>
          <w:szCs w:val="20"/>
          <w:lang w:val="es-PE"/>
        </w:rPr>
        <w:t>Vuletin</w:t>
      </w:r>
      <w:proofErr w:type="spellEnd"/>
      <w:r>
        <w:rPr>
          <w:sz w:val="20"/>
          <w:szCs w:val="20"/>
          <w:lang w:val="es-PE"/>
        </w:rPr>
        <w:t xml:space="preserve"> (2018). “</w:t>
      </w:r>
      <w:r w:rsidRPr="00C663EB">
        <w:rPr>
          <w:i/>
          <w:iCs/>
          <w:sz w:val="20"/>
          <w:szCs w:val="20"/>
          <w:lang w:val="es-PE"/>
        </w:rPr>
        <w:t>El gasto público: De más a mejor</w:t>
      </w:r>
      <w:r>
        <w:rPr>
          <w:sz w:val="20"/>
          <w:szCs w:val="20"/>
          <w:lang w:val="es-PE"/>
        </w:rPr>
        <w:t xml:space="preserve">”. En Mejor gasto para mejores vidas. </w:t>
      </w:r>
      <w:r w:rsidRPr="00C663EB">
        <w:rPr>
          <w:sz w:val="20"/>
          <w:szCs w:val="20"/>
          <w:lang w:val="es-PE"/>
        </w:rPr>
        <w:t>Cómo América Latina y el Caribe puede hacer más con menos</w:t>
      </w:r>
      <w:r>
        <w:rPr>
          <w:sz w:val="20"/>
          <w:szCs w:val="20"/>
          <w:lang w:val="es-PE"/>
        </w:rPr>
        <w:t xml:space="preserve">. </w:t>
      </w:r>
      <w:r w:rsidR="00A1553C">
        <w:rPr>
          <w:sz w:val="20"/>
          <w:szCs w:val="20"/>
          <w:lang w:val="es-PE"/>
        </w:rPr>
        <w:t xml:space="preserve">BID. </w:t>
      </w:r>
    </w:p>
    <w:p w14:paraId="4C1E9465" w14:textId="74F91D57" w:rsidR="003C543A" w:rsidRDefault="00C663EB" w:rsidP="003C543A">
      <w:pPr>
        <w:rPr>
          <w:sz w:val="20"/>
          <w:szCs w:val="20"/>
        </w:rPr>
      </w:pPr>
      <w:r w:rsidRPr="00C663EB">
        <w:rPr>
          <w:sz w:val="20"/>
          <w:szCs w:val="20"/>
        </w:rPr>
        <w:t>Spilimbergo, Symansky, Schindler (2009)</w:t>
      </w:r>
      <w:r>
        <w:rPr>
          <w:sz w:val="20"/>
          <w:szCs w:val="20"/>
        </w:rPr>
        <w:t>.</w:t>
      </w:r>
      <w:r w:rsidRPr="00C663EB">
        <w:rPr>
          <w:sz w:val="20"/>
          <w:szCs w:val="20"/>
        </w:rPr>
        <w:t xml:space="preserve"> “Fiscal Multipliers”. IMF Staff Position Note. </w:t>
      </w:r>
    </w:p>
    <w:p w14:paraId="64DACC27" w14:textId="77777777" w:rsidR="00C663EB" w:rsidRPr="00C663EB" w:rsidRDefault="00C663EB" w:rsidP="003C543A">
      <w:pPr>
        <w:rPr>
          <w:sz w:val="18"/>
          <w:szCs w:val="18"/>
          <w:lang w:val="es-PE"/>
        </w:rPr>
      </w:pPr>
    </w:p>
    <w:p w14:paraId="6249ECED" w14:textId="49132567" w:rsidR="003C543A" w:rsidRPr="003C543A" w:rsidRDefault="003C543A" w:rsidP="003C543A">
      <w:pPr>
        <w:rPr>
          <w:sz w:val="20"/>
          <w:szCs w:val="20"/>
          <w:lang w:val="es-PE"/>
        </w:rPr>
      </w:pPr>
    </w:p>
    <w:p w14:paraId="7E8EAA12" w14:textId="421F6395" w:rsidR="003C543A" w:rsidRPr="003C543A" w:rsidRDefault="003C543A" w:rsidP="003C543A">
      <w:pPr>
        <w:rPr>
          <w:sz w:val="20"/>
          <w:szCs w:val="20"/>
          <w:lang w:val="es-PE"/>
        </w:rPr>
      </w:pPr>
    </w:p>
    <w:p w14:paraId="493C2C76" w14:textId="248282D6" w:rsidR="003C543A" w:rsidRPr="003C543A" w:rsidRDefault="003C543A" w:rsidP="003C543A">
      <w:pPr>
        <w:rPr>
          <w:sz w:val="20"/>
          <w:szCs w:val="20"/>
          <w:lang w:val="es-PE"/>
        </w:rPr>
      </w:pPr>
    </w:p>
    <w:p w14:paraId="3DE208A9" w14:textId="77777777" w:rsidR="003C543A" w:rsidRPr="003C543A" w:rsidRDefault="003C543A" w:rsidP="003C543A">
      <w:pPr>
        <w:rPr>
          <w:sz w:val="20"/>
          <w:szCs w:val="20"/>
          <w:lang w:val="es-PE"/>
        </w:rPr>
      </w:pPr>
    </w:p>
    <w:sectPr w:rsidR="003C543A" w:rsidRPr="003C54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0292" w14:textId="77777777" w:rsidR="004D3801" w:rsidRDefault="004D3801" w:rsidP="00AA24F2">
      <w:pPr>
        <w:spacing w:after="0" w:line="240" w:lineRule="auto"/>
      </w:pPr>
      <w:r>
        <w:separator/>
      </w:r>
    </w:p>
  </w:endnote>
  <w:endnote w:type="continuationSeparator" w:id="0">
    <w:p w14:paraId="04EF4C0C" w14:textId="77777777" w:rsidR="004D3801" w:rsidRDefault="004D3801" w:rsidP="00AA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5B6F" w14:textId="77777777" w:rsidR="004D3801" w:rsidRDefault="004D3801" w:rsidP="00AA24F2">
      <w:pPr>
        <w:spacing w:after="0" w:line="240" w:lineRule="auto"/>
      </w:pPr>
      <w:r>
        <w:separator/>
      </w:r>
    </w:p>
  </w:footnote>
  <w:footnote w:type="continuationSeparator" w:id="0">
    <w:p w14:paraId="5AFFF0E1" w14:textId="77777777" w:rsidR="004D3801" w:rsidRDefault="004D3801" w:rsidP="00AA24F2">
      <w:pPr>
        <w:spacing w:after="0" w:line="240" w:lineRule="auto"/>
      </w:pPr>
      <w:r>
        <w:continuationSeparator/>
      </w:r>
    </w:p>
  </w:footnote>
  <w:footnote w:id="1">
    <w:p w14:paraId="54A81086" w14:textId="26534431" w:rsidR="00CB73EB" w:rsidRPr="00BF5849" w:rsidRDefault="00CB73EB">
      <w:pPr>
        <w:pStyle w:val="Textonotapie"/>
        <w:rPr>
          <w:sz w:val="18"/>
          <w:szCs w:val="18"/>
          <w:lang w:val="es-PE"/>
        </w:rPr>
      </w:pPr>
      <w:r>
        <w:rPr>
          <w:rStyle w:val="Refdenotaalpie"/>
        </w:rPr>
        <w:footnoteRef/>
      </w:r>
      <w:r w:rsidRPr="00CB73EB">
        <w:rPr>
          <w:lang w:val="es-PE"/>
        </w:rPr>
        <w:t xml:space="preserve"> </w:t>
      </w:r>
      <w:r w:rsidRPr="00BF5849">
        <w:rPr>
          <w:sz w:val="18"/>
          <w:szCs w:val="18"/>
          <w:lang w:val="es-PE"/>
        </w:rPr>
        <w:t>BID. Mejor gasto para mejores vidas (201</w:t>
      </w:r>
      <w:r w:rsidR="00A1553C">
        <w:rPr>
          <w:sz w:val="18"/>
          <w:szCs w:val="18"/>
          <w:lang w:val="es-PE"/>
        </w:rPr>
        <w:t>8</w:t>
      </w:r>
      <w:r w:rsidRPr="00BF5849">
        <w:rPr>
          <w:sz w:val="18"/>
          <w:szCs w:val="18"/>
          <w:lang w:val="es-PE"/>
        </w:rPr>
        <w:t>).</w:t>
      </w:r>
    </w:p>
  </w:footnote>
  <w:footnote w:id="2">
    <w:p w14:paraId="7657616A" w14:textId="26E65261" w:rsidR="00756D88" w:rsidRPr="00756D88" w:rsidRDefault="00756D88" w:rsidP="00756D88">
      <w:pPr>
        <w:pStyle w:val="Textonotapie"/>
        <w:jc w:val="both"/>
        <w:rPr>
          <w:lang w:val="es-PE"/>
        </w:rPr>
      </w:pPr>
      <w:r w:rsidRPr="00BF5849">
        <w:rPr>
          <w:rStyle w:val="Refdenotaalpie"/>
          <w:sz w:val="18"/>
          <w:szCs w:val="18"/>
        </w:rPr>
        <w:footnoteRef/>
      </w:r>
      <w:r w:rsidRPr="00BF5849">
        <w:rPr>
          <w:sz w:val="18"/>
          <w:szCs w:val="18"/>
          <w:lang w:val="es-PE"/>
        </w:rPr>
        <w:t xml:space="preserve"> La Ley de Wagner establece que a medida que se incrementa el desarrollo económico, el gasto público se incrementará para satisfacer la provisión de nuevos bienes y servicios, y también aumentar el alcance de los servicios existentes.</w:t>
      </w:r>
    </w:p>
  </w:footnote>
  <w:footnote w:id="3">
    <w:p w14:paraId="21D46947" w14:textId="2E5DEDA0" w:rsidR="002A45A8" w:rsidRPr="002A45A8" w:rsidRDefault="002A45A8" w:rsidP="00FC1349">
      <w:pPr>
        <w:pStyle w:val="Textonotapie"/>
        <w:jc w:val="both"/>
        <w:rPr>
          <w:lang w:val="es-PE"/>
        </w:rPr>
      </w:pPr>
      <w:r>
        <w:rPr>
          <w:rStyle w:val="Refdenotaalpie"/>
        </w:rPr>
        <w:footnoteRef/>
      </w:r>
      <w:r w:rsidRPr="002A45A8">
        <w:rPr>
          <w:lang w:val="es-PE"/>
        </w:rPr>
        <w:t xml:space="preserve"> </w:t>
      </w:r>
      <w:r w:rsidRPr="00BF5849">
        <w:rPr>
          <w:sz w:val="18"/>
          <w:szCs w:val="18"/>
          <w:lang w:val="es-PE"/>
        </w:rPr>
        <w:t xml:space="preserve">Se considera como gasto corriente la suma de gasto </w:t>
      </w:r>
      <w:r w:rsidR="00BF5849" w:rsidRPr="00BF5849">
        <w:rPr>
          <w:sz w:val="18"/>
          <w:szCs w:val="18"/>
          <w:lang w:val="es-PE"/>
        </w:rPr>
        <w:t xml:space="preserve">en remuneraciones y bienes y servicios. </w:t>
      </w:r>
    </w:p>
  </w:footnote>
  <w:footnote w:id="4">
    <w:p w14:paraId="6882A517" w14:textId="523A9E13" w:rsidR="00FC1349" w:rsidRPr="00FC1349" w:rsidRDefault="00FC1349" w:rsidP="00FC1349">
      <w:pPr>
        <w:pStyle w:val="Textonotapie"/>
        <w:jc w:val="both"/>
        <w:rPr>
          <w:lang w:val="es-PE"/>
        </w:rPr>
      </w:pPr>
      <w:r>
        <w:rPr>
          <w:rStyle w:val="Refdenotaalpie"/>
        </w:rPr>
        <w:footnoteRef/>
      </w:r>
      <w:r>
        <w:t xml:space="preserve"> El</w:t>
      </w:r>
      <w:r w:rsidRPr="00FC1349">
        <w:rPr>
          <w:lang w:val="es-US"/>
        </w:rPr>
        <w:t xml:space="preserve"> multiplicador fiscal no </w:t>
      </w:r>
      <w:r>
        <w:rPr>
          <w:lang w:val="es-US"/>
        </w:rPr>
        <w:t>afectaría al PBI primario</w:t>
      </w:r>
      <w:r w:rsidRPr="00FC1349">
        <w:rPr>
          <w:lang w:val="es-US"/>
        </w:rPr>
        <w:t xml:space="preserve"> al tratarse de una oferta agregada muy inelástica</w:t>
      </w:r>
      <w:r>
        <w:t xml:space="preserve">. </w:t>
      </w:r>
    </w:p>
  </w:footnote>
  <w:footnote w:id="5">
    <w:p w14:paraId="43F34B10" w14:textId="299F9051" w:rsidR="000F2AE5" w:rsidRPr="000F2AE5" w:rsidRDefault="000F2AE5" w:rsidP="00FC1349">
      <w:pPr>
        <w:pStyle w:val="Textonotapie"/>
        <w:jc w:val="both"/>
        <w:rPr>
          <w:lang w:val="es-PE"/>
        </w:rPr>
      </w:pPr>
      <w:r>
        <w:rPr>
          <w:rStyle w:val="Refdenotaalpie"/>
        </w:rPr>
        <w:footnoteRef/>
      </w:r>
      <w:r w:rsidRPr="000F2AE5">
        <w:rPr>
          <w:lang w:val="es-PE"/>
        </w:rPr>
        <w:t xml:space="preserve"> </w:t>
      </w:r>
      <w:r w:rsidR="00A17FF0" w:rsidRPr="00A17FF0">
        <w:rPr>
          <w:sz w:val="18"/>
          <w:szCs w:val="18"/>
          <w:lang w:val="es-PE"/>
        </w:rPr>
        <w:t>Utilizamos el BEAR TOOLBOX, herramienta creada por el Banco Central Europeo</w:t>
      </w:r>
      <w:r w:rsidR="00A17FF0">
        <w:rPr>
          <w:lang w:val="es-PE"/>
        </w:rPr>
        <w:t xml:space="preserve">. </w:t>
      </w:r>
      <w:hyperlink r:id="rId1" w:history="1">
        <w:r w:rsidR="00A17FF0">
          <w:rPr>
            <w:rStyle w:val="Hipervnculo"/>
            <w:lang w:val="es-PE"/>
          </w:rPr>
          <w:t>BEAR</w:t>
        </w:r>
      </w:hyperlink>
    </w:p>
  </w:footnote>
  <w:footnote w:id="6">
    <w:p w14:paraId="24331914" w14:textId="0DD6D2CE" w:rsidR="007849FB" w:rsidRPr="007849FB" w:rsidRDefault="007849FB">
      <w:pPr>
        <w:pStyle w:val="Textonotapie"/>
        <w:rPr>
          <w:lang w:val="es-PE"/>
        </w:rPr>
      </w:pPr>
      <w:r>
        <w:rPr>
          <w:rStyle w:val="Refdenotaalpie"/>
        </w:rPr>
        <w:footnoteRef/>
      </w:r>
      <w:r w:rsidRPr="007849FB">
        <w:rPr>
          <w:lang w:val="es-PE"/>
        </w:rPr>
        <w:t xml:space="preserve"> </w:t>
      </w:r>
      <w:r w:rsidRPr="007849FB">
        <w:rPr>
          <w:sz w:val="18"/>
          <w:szCs w:val="18"/>
          <w:lang w:val="es-PE"/>
        </w:rPr>
        <w:t xml:space="preserve">Ver anexos. </w:t>
      </w:r>
    </w:p>
  </w:footnote>
  <w:footnote w:id="7">
    <w:p w14:paraId="7BAA4ADD" w14:textId="27F308B5" w:rsidR="00F56DAF" w:rsidRPr="00F56DAF" w:rsidRDefault="00F56DAF">
      <w:pPr>
        <w:pStyle w:val="Textonotapie"/>
        <w:rPr>
          <w:lang w:val="es-PE"/>
        </w:rPr>
      </w:pPr>
      <w:r>
        <w:rPr>
          <w:rStyle w:val="Refdenotaalpie"/>
        </w:rPr>
        <w:footnoteRef/>
      </w:r>
      <w:r>
        <w:t xml:space="preserve"> </w:t>
      </w:r>
      <w:r>
        <w:rPr>
          <w:lang w:val="es-PE"/>
        </w:rPr>
        <w:t xml:space="preserve">Para más información de este método revisar la Guía </w:t>
      </w:r>
      <w:r w:rsidR="00A1553C">
        <w:rPr>
          <w:lang w:val="es-PE"/>
        </w:rPr>
        <w:t>T</w:t>
      </w:r>
      <w:r>
        <w:rPr>
          <w:lang w:val="es-PE"/>
        </w:rPr>
        <w:t xml:space="preserve">écnica del BEAR </w:t>
      </w:r>
      <w:proofErr w:type="spellStart"/>
      <w:r>
        <w:rPr>
          <w:lang w:val="es-PE"/>
        </w:rPr>
        <w:t>Toolbox</w:t>
      </w:r>
      <w:proofErr w:type="spellEnd"/>
      <w:r>
        <w:rPr>
          <w:lang w:val="es-PE"/>
        </w:rPr>
        <w:t xml:space="preserve">. </w:t>
      </w:r>
    </w:p>
  </w:footnote>
  <w:footnote w:id="8">
    <w:p w14:paraId="34D1CD55" w14:textId="329F31BD" w:rsidR="00AA24F2" w:rsidRPr="00AA24F2" w:rsidRDefault="00AA24F2">
      <w:pPr>
        <w:pStyle w:val="Textonotapie"/>
        <w:rPr>
          <w:lang w:val="es-PE"/>
        </w:rPr>
      </w:pPr>
      <w:r>
        <w:rPr>
          <w:rStyle w:val="Refdenotaalpie"/>
        </w:rPr>
        <w:footnoteRef/>
      </w:r>
      <w:r w:rsidRPr="00003CE4">
        <w:rPr>
          <w:lang w:val="es-PE"/>
        </w:rPr>
        <w:t xml:space="preserve"> </w:t>
      </w:r>
      <w:r>
        <w:rPr>
          <w:lang w:val="es-PE"/>
        </w:rPr>
        <w:t xml:space="preserve">Impulso del gasto público y respuesta del PBI no primario.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67EB6"/>
    <w:multiLevelType w:val="hybridMultilevel"/>
    <w:tmpl w:val="5FFEFB8E"/>
    <w:lvl w:ilvl="0" w:tplc="4BC64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23"/>
    <w:rsid w:val="00003CE4"/>
    <w:rsid w:val="0001080F"/>
    <w:rsid w:val="00024993"/>
    <w:rsid w:val="000C0DB1"/>
    <w:rsid w:val="000D3ECB"/>
    <w:rsid w:val="000F2AE5"/>
    <w:rsid w:val="000F5944"/>
    <w:rsid w:val="001240E8"/>
    <w:rsid w:val="00140A6D"/>
    <w:rsid w:val="00142DEE"/>
    <w:rsid w:val="00152835"/>
    <w:rsid w:val="0016596A"/>
    <w:rsid w:val="001B1A71"/>
    <w:rsid w:val="001C4821"/>
    <w:rsid w:val="001D1CF6"/>
    <w:rsid w:val="001F12D5"/>
    <w:rsid w:val="00214437"/>
    <w:rsid w:val="002640AF"/>
    <w:rsid w:val="00276153"/>
    <w:rsid w:val="00290623"/>
    <w:rsid w:val="002936A4"/>
    <w:rsid w:val="002A45A8"/>
    <w:rsid w:val="002B038A"/>
    <w:rsid w:val="002E2B3D"/>
    <w:rsid w:val="002F755E"/>
    <w:rsid w:val="00322C20"/>
    <w:rsid w:val="00353C18"/>
    <w:rsid w:val="00373726"/>
    <w:rsid w:val="003B35EF"/>
    <w:rsid w:val="003C543A"/>
    <w:rsid w:val="003D0038"/>
    <w:rsid w:val="003E6E39"/>
    <w:rsid w:val="00431C23"/>
    <w:rsid w:val="004346E8"/>
    <w:rsid w:val="004426F0"/>
    <w:rsid w:val="004531AC"/>
    <w:rsid w:val="00492080"/>
    <w:rsid w:val="004942A8"/>
    <w:rsid w:val="004D3801"/>
    <w:rsid w:val="004E5D99"/>
    <w:rsid w:val="004E7A17"/>
    <w:rsid w:val="00537AAC"/>
    <w:rsid w:val="00546AA8"/>
    <w:rsid w:val="005C2AB8"/>
    <w:rsid w:val="005C6F24"/>
    <w:rsid w:val="00600430"/>
    <w:rsid w:val="00610552"/>
    <w:rsid w:val="00622080"/>
    <w:rsid w:val="00630F46"/>
    <w:rsid w:val="006327A9"/>
    <w:rsid w:val="00691F04"/>
    <w:rsid w:val="006C30B5"/>
    <w:rsid w:val="006C41B4"/>
    <w:rsid w:val="006E0C29"/>
    <w:rsid w:val="006F5FD2"/>
    <w:rsid w:val="00756D88"/>
    <w:rsid w:val="007724F8"/>
    <w:rsid w:val="007849FB"/>
    <w:rsid w:val="007A32D9"/>
    <w:rsid w:val="007B236F"/>
    <w:rsid w:val="007D0999"/>
    <w:rsid w:val="007E190F"/>
    <w:rsid w:val="007F15CA"/>
    <w:rsid w:val="0082517C"/>
    <w:rsid w:val="00842D2C"/>
    <w:rsid w:val="00854CB6"/>
    <w:rsid w:val="00854ECB"/>
    <w:rsid w:val="008B470C"/>
    <w:rsid w:val="008E724D"/>
    <w:rsid w:val="008F04ED"/>
    <w:rsid w:val="0092626F"/>
    <w:rsid w:val="00935FA3"/>
    <w:rsid w:val="00951274"/>
    <w:rsid w:val="0098456D"/>
    <w:rsid w:val="009A0CF6"/>
    <w:rsid w:val="009A7C45"/>
    <w:rsid w:val="009D346D"/>
    <w:rsid w:val="009E5952"/>
    <w:rsid w:val="00A05D39"/>
    <w:rsid w:val="00A1553C"/>
    <w:rsid w:val="00A17FF0"/>
    <w:rsid w:val="00A513ED"/>
    <w:rsid w:val="00A53D45"/>
    <w:rsid w:val="00A955FA"/>
    <w:rsid w:val="00AA24F2"/>
    <w:rsid w:val="00AB0CB8"/>
    <w:rsid w:val="00AD1198"/>
    <w:rsid w:val="00AE373E"/>
    <w:rsid w:val="00AF7CC0"/>
    <w:rsid w:val="00B040A1"/>
    <w:rsid w:val="00B06ADA"/>
    <w:rsid w:val="00B26DE7"/>
    <w:rsid w:val="00B35C74"/>
    <w:rsid w:val="00B60221"/>
    <w:rsid w:val="00B61087"/>
    <w:rsid w:val="00B6290E"/>
    <w:rsid w:val="00B65466"/>
    <w:rsid w:val="00BA37DD"/>
    <w:rsid w:val="00BA430B"/>
    <w:rsid w:val="00BC1639"/>
    <w:rsid w:val="00BF45F8"/>
    <w:rsid w:val="00BF50D7"/>
    <w:rsid w:val="00BF5849"/>
    <w:rsid w:val="00C20871"/>
    <w:rsid w:val="00C663EB"/>
    <w:rsid w:val="00C90C1D"/>
    <w:rsid w:val="00CA47C8"/>
    <w:rsid w:val="00CB1B53"/>
    <w:rsid w:val="00CB73EB"/>
    <w:rsid w:val="00CD200B"/>
    <w:rsid w:val="00CE0969"/>
    <w:rsid w:val="00CE1377"/>
    <w:rsid w:val="00D4283E"/>
    <w:rsid w:val="00D976A9"/>
    <w:rsid w:val="00DD5BAA"/>
    <w:rsid w:val="00DF344E"/>
    <w:rsid w:val="00E34827"/>
    <w:rsid w:val="00E609A9"/>
    <w:rsid w:val="00E832DA"/>
    <w:rsid w:val="00E97592"/>
    <w:rsid w:val="00F04503"/>
    <w:rsid w:val="00F05236"/>
    <w:rsid w:val="00F0560F"/>
    <w:rsid w:val="00F16753"/>
    <w:rsid w:val="00F26541"/>
    <w:rsid w:val="00F31281"/>
    <w:rsid w:val="00F56708"/>
    <w:rsid w:val="00F56DAF"/>
    <w:rsid w:val="00F94ADB"/>
    <w:rsid w:val="00FA6EC4"/>
    <w:rsid w:val="00FB44B9"/>
    <w:rsid w:val="00FC1349"/>
    <w:rsid w:val="00FC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7C48"/>
  <w15:chartTrackingRefBased/>
  <w15:docId w15:val="{CB16EF9F-A6FF-4B79-BBB4-4CEE534D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EE"/>
  </w:style>
  <w:style w:type="paragraph" w:styleId="Ttulo1">
    <w:name w:val="heading 1"/>
    <w:basedOn w:val="Normal"/>
    <w:next w:val="Normal"/>
    <w:link w:val="Ttulo1Car"/>
    <w:uiPriority w:val="9"/>
    <w:qFormat/>
    <w:rsid w:val="000F5944"/>
    <w:pPr>
      <w:keepNext/>
      <w:keepLines/>
      <w:spacing w:before="240" w:after="0"/>
      <w:outlineLvl w:val="0"/>
    </w:pPr>
    <w:rPr>
      <w:rFonts w:asciiTheme="majorHAnsi" w:eastAsiaTheme="majorEastAsia" w:hAnsiTheme="majorHAnsi" w:cstheme="majorBidi"/>
      <w:color w:val="5F5F5F"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46D"/>
    <w:pPr>
      <w:ind w:left="720"/>
      <w:contextualSpacing/>
    </w:pPr>
  </w:style>
  <w:style w:type="table" w:styleId="Tablaconcuadrcula">
    <w:name w:val="Table Grid"/>
    <w:basedOn w:val="Tablanormal"/>
    <w:uiPriority w:val="39"/>
    <w:rsid w:val="007D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26DE7"/>
    <w:rPr>
      <w:color w:val="808080"/>
    </w:rPr>
  </w:style>
  <w:style w:type="paragraph" w:styleId="Textonotapie">
    <w:name w:val="footnote text"/>
    <w:basedOn w:val="Normal"/>
    <w:link w:val="TextonotapieCar"/>
    <w:uiPriority w:val="99"/>
    <w:semiHidden/>
    <w:unhideWhenUsed/>
    <w:rsid w:val="00AA24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24F2"/>
    <w:rPr>
      <w:sz w:val="20"/>
      <w:szCs w:val="20"/>
    </w:rPr>
  </w:style>
  <w:style w:type="character" w:styleId="Refdenotaalpie">
    <w:name w:val="footnote reference"/>
    <w:basedOn w:val="Fuentedeprrafopredeter"/>
    <w:uiPriority w:val="99"/>
    <w:semiHidden/>
    <w:unhideWhenUsed/>
    <w:rsid w:val="00AA24F2"/>
    <w:rPr>
      <w:vertAlign w:val="superscript"/>
    </w:rPr>
  </w:style>
  <w:style w:type="character" w:customStyle="1" w:styleId="Ttulo1Car">
    <w:name w:val="Título 1 Car"/>
    <w:basedOn w:val="Fuentedeprrafopredeter"/>
    <w:link w:val="Ttulo1"/>
    <w:uiPriority w:val="9"/>
    <w:rsid w:val="000F5944"/>
    <w:rPr>
      <w:rFonts w:asciiTheme="majorHAnsi" w:eastAsiaTheme="majorEastAsia" w:hAnsiTheme="majorHAnsi" w:cstheme="majorBidi"/>
      <w:color w:val="5F5F5F" w:themeColor="accent1" w:themeShade="BF"/>
      <w:sz w:val="32"/>
      <w:szCs w:val="32"/>
    </w:rPr>
  </w:style>
  <w:style w:type="character" w:styleId="Hipervnculo">
    <w:name w:val="Hyperlink"/>
    <w:basedOn w:val="Fuentedeprrafopredeter"/>
    <w:uiPriority w:val="99"/>
    <w:unhideWhenUsed/>
    <w:rsid w:val="00A17FF0"/>
    <w:rPr>
      <w:color w:val="0563C1" w:themeColor="hyperlink"/>
      <w:u w:val="single"/>
    </w:rPr>
  </w:style>
  <w:style w:type="character" w:styleId="Mencinsinresolver">
    <w:name w:val="Unresolved Mention"/>
    <w:basedOn w:val="Fuentedeprrafopredeter"/>
    <w:uiPriority w:val="99"/>
    <w:semiHidden/>
    <w:unhideWhenUsed/>
    <w:rsid w:val="00A17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www.ecb.europa.eu/pub/research/working-papers/html/bear-toolbox.en.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cb.europa.eu/pub/research/working-papers/html/bear-toolbox.en.html" TargetMode="External"/></Relationships>
</file>

<file path=word/theme/theme1.xml><?xml version="1.0" encoding="utf-8"?>
<a:theme xmlns:a="http://schemas.openxmlformats.org/drawingml/2006/main" name="Tema de Office">
  <a:themeElements>
    <a:clrScheme name="RETHINKING">
      <a:dk1>
        <a:sysClr val="windowText" lastClr="000000"/>
      </a:dk1>
      <a:lt1>
        <a:sysClr val="window" lastClr="FFFFFF"/>
      </a:lt1>
      <a:dk2>
        <a:srgbClr val="44546A"/>
      </a:dk2>
      <a:lt2>
        <a:srgbClr val="E7E6E6"/>
      </a:lt2>
      <a:accent1>
        <a:srgbClr val="808080"/>
      </a:accent1>
      <a:accent2>
        <a:srgbClr val="FA7236"/>
      </a:accent2>
      <a:accent3>
        <a:srgbClr val="70C7D4"/>
      </a:accent3>
      <a:accent4>
        <a:srgbClr val="C9D3D4"/>
      </a:accent4>
      <a:accent5>
        <a:srgbClr val="E6E7E8"/>
      </a:accent5>
      <a:accent6>
        <a:srgbClr val="414042"/>
      </a:accent6>
      <a:hlink>
        <a:srgbClr val="0563C1"/>
      </a:hlink>
      <a:folHlink>
        <a:srgbClr val="954F72"/>
      </a:folHlink>
    </a:clrScheme>
    <a:fontScheme name="MEF">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E5F2-2877-47FA-9D2A-6F2D599A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1</Pages>
  <Words>2127</Words>
  <Characters>11700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alexanders Tello</cp:lastModifiedBy>
  <cp:revision>59</cp:revision>
  <dcterms:created xsi:type="dcterms:W3CDTF">2021-07-19T03:57:00Z</dcterms:created>
  <dcterms:modified xsi:type="dcterms:W3CDTF">2021-12-30T06:52:00Z</dcterms:modified>
</cp:coreProperties>
</file>