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Management Business Rules for customer’s complaints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Customer complaint classification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9"/>
        <w:gridCol w:w="8023"/>
      </w:tblGrid>
      <w:tr>
        <w:trPr/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23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Assess the level of insatisfaction in one of the three category: low, medium, high.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24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Assess if the customer reports an intention to leave.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25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Assess the motivation for current conversation which could be one of the following: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left"/>
              <w:rPr/>
            </w:pPr>
            <w:bookmarkStart w:id="0" w:name="docs-internal-guid-67331ac9-7fff-7abc-68"/>
            <w:bookmarkEnd w:id="0"/>
            <w:r>
              <w:rPr>
                <w:shd w:fill="auto" w:val="clear"/>
              </w:rPr>
              <w:t>bad service (affiliated tow truck or garage)</w:t>
            </w:r>
          </w:p>
          <w:p>
            <w:pPr>
              <w:pStyle w:val="BodyText"/>
              <w:numPr>
                <w:ilvl w:val="0"/>
                <w:numId w:val="2"/>
              </w:numPr>
              <w:pBdr/>
              <w:tabs>
                <w:tab w:val="clear" w:pos="709"/>
                <w:tab w:val="left" w:pos="709" w:leader="none"/>
              </w:tabs>
              <w:bidi w:val="0"/>
              <w:ind w:hanging="283" w:left="709" w:right="0"/>
              <w:rPr>
                <w:shd w:fill="auto" w:val="clear"/>
              </w:rPr>
            </w:pPr>
            <w:r>
              <w:rPr>
                <w:shd w:fill="auto" w:val="clear"/>
              </w:rPr>
              <w:t>long delay to process claim</w:t>
            </w:r>
          </w:p>
          <w:p>
            <w:pPr>
              <w:pStyle w:val="BodyText"/>
              <w:numPr>
                <w:ilvl w:val="0"/>
                <w:numId w:val="2"/>
              </w:numPr>
              <w:pBdr/>
              <w:tabs>
                <w:tab w:val="clear" w:pos="709"/>
                <w:tab w:val="left" w:pos="709" w:leader="none"/>
              </w:tabs>
              <w:bidi w:val="0"/>
              <w:ind w:hanging="283" w:left="709" w:right="0"/>
              <w:rPr>
                <w:shd w:fill="auto" w:val="clear"/>
              </w:rPr>
            </w:pPr>
            <w:r>
              <w:rPr>
                <w:shd w:fill="auto" w:val="clear"/>
              </w:rPr>
              <w:t>deductible to pay</w:t>
            </w:r>
          </w:p>
          <w:p>
            <w:pPr>
              <w:pStyle w:val="BodyText"/>
              <w:numPr>
                <w:ilvl w:val="0"/>
                <w:numId w:val="2"/>
              </w:numPr>
              <w:pBdr/>
              <w:tabs>
                <w:tab w:val="clear" w:pos="709"/>
                <w:tab w:val="left" w:pos="709" w:leader="none"/>
              </w:tabs>
              <w:bidi w:val="0"/>
              <w:ind w:hanging="283" w:left="709" w:right="0"/>
              <w:rPr>
                <w:shd w:fill="auto" w:val="clear"/>
              </w:rPr>
            </w:pPr>
            <w:r>
              <w:rPr>
                <w:shd w:fill="auto" w:val="clear"/>
              </w:rPr>
              <w:t>accident not covered or only partially covered</w:t>
            </w:r>
          </w:p>
          <w:p>
            <w:pPr>
              <w:pStyle w:val="BodyText"/>
              <w:numPr>
                <w:ilvl w:val="0"/>
                <w:numId w:val="2"/>
              </w:numPr>
              <w:pBdr/>
              <w:tabs>
                <w:tab w:val="clear" w:pos="709"/>
                <w:tab w:val="left" w:pos="709" w:leader="none"/>
              </w:tabs>
              <w:bidi w:val="0"/>
              <w:ind w:hanging="283" w:left="709" w:right="0"/>
              <w:rPr>
                <w:shd w:fill="auto" w:val="clear"/>
              </w:rPr>
            </w:pPr>
            <w:r>
              <w:rPr>
                <w:shd w:fill="auto" w:val="clear"/>
              </w:rPr>
              <w:t>unsatisfied with customer service (insurance expert visit, agent, …)</w:t>
            </w:r>
          </w:p>
          <w:p>
            <w:pPr>
              <w:pStyle w:val="BodyText"/>
              <w:numPr>
                <w:ilvl w:val="0"/>
                <w:numId w:val="2"/>
              </w:numPr>
              <w:pBdr/>
              <w:tabs>
                <w:tab w:val="clear" w:pos="709"/>
                <w:tab w:val="left" w:pos="709" w:leader="none"/>
              </w:tabs>
              <w:bidi w:val="0"/>
              <w:ind w:hanging="283" w:left="709" w:right="0"/>
              <w:rPr>
                <w:shd w:fill="auto" w:val="clear"/>
              </w:rPr>
            </w:pPr>
            <w:r>
              <w:rPr>
                <w:shd w:fill="auto" w:val="clear"/>
              </w:rPr>
              <w:t>just calling to get information about existing products or new products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In the event of dissatisfaction with the amount compensated: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9"/>
        <w:gridCol w:w="8113"/>
      </w:tblGrid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41</w:t>
            </w:r>
          </w:p>
        </w:tc>
        <w:tc>
          <w:tcPr>
            <w:tcW w:w="8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 any complaint about the level of claim reimbursement, refer to a retention expert.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C</w:t>
      </w:r>
      <w:bookmarkStart w:id="1" w:name="docs-internal-guid-9c53e70f-7fff-3723-53"/>
      <w:bookmarkEnd w:id="1"/>
      <w:r>
        <w:rPr>
          <w:shd w:fill="auto" w:val="clear"/>
        </w:rPr>
        <w:t xml:space="preserve">laim related to a water damage </w:t>
      </w:r>
      <w:r>
        <w:rPr>
          <w:shd w:fill="auto" w:val="clear"/>
        </w:rPr>
        <w:t>in the house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9"/>
        <w:gridCol w:w="8113"/>
      </w:tblGrid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50</w:t>
            </w:r>
          </w:p>
        </w:tc>
        <w:tc>
          <w:tcPr>
            <w:tcW w:w="8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pBdr/>
              <w:bidi w:val="0"/>
              <w:spacing w:before="0" w:after="140"/>
              <w:ind w:hanging="0" w:left="0" w:right="0"/>
              <w:rPr/>
            </w:pPr>
            <w:bookmarkStart w:id="2" w:name="docs-internal-guid-31a49787-7fff-b7e1-5d"/>
            <w:bookmarkEnd w:id="2"/>
            <w:r>
              <w:rPr>
                <w:shd w:fill="auto" w:val="clear"/>
              </w:rPr>
              <w:t xml:space="preserve">Assess if the </w:t>
            </w:r>
            <w:r>
              <w:rPr>
                <w:shd w:fill="auto" w:val="clear"/>
              </w:rPr>
              <w:t xml:space="preserve">water damage inside individual house </w:t>
            </w:r>
            <w:r>
              <w:rPr>
                <w:shd w:fill="auto" w:val="clear"/>
              </w:rPr>
              <w:t xml:space="preserve">is </w:t>
            </w:r>
            <w:r>
              <w:rPr>
                <w:shd w:fill="auto" w:val="clear"/>
              </w:rPr>
              <w:t xml:space="preserve">due to a broken pipe. </w:t>
            </w:r>
          </w:p>
        </w:tc>
      </w:tr>
      <w:tr>
        <w:trPr/>
        <w:tc>
          <w:tcPr>
            <w:tcW w:w="1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51</w:t>
            </w:r>
          </w:p>
        </w:tc>
        <w:tc>
          <w:tcPr>
            <w:tcW w:w="8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pBdr/>
              <w:bidi w:val="0"/>
              <w:spacing w:before="0" w:after="140"/>
              <w:ind w:hanging="0" w:left="0" w:right="0"/>
              <w:rPr/>
            </w:pPr>
            <w:r>
              <w:rPr>
                <w:shd w:fill="auto" w:val="clear"/>
              </w:rPr>
              <w:t xml:space="preserve">When </w:t>
            </w:r>
            <w:r>
              <w:rPr>
                <w:shd w:fill="auto" w:val="clear"/>
              </w:rPr>
              <w:t xml:space="preserve">insurance expert has established that the insurance policy does not cover damaged carpets (stains) </w:t>
            </w:r>
            <w:r>
              <w:rPr>
                <w:shd w:fill="auto" w:val="clear"/>
              </w:rPr>
              <w:t xml:space="preserve">while the customer is unsatisfied (given that these carpets have sentimental value) and the water damage is due to a broken pipe, </w:t>
            </w:r>
            <w:bookmarkStart w:id="3" w:name="docs-internal-guid-c25a31b6-7fff-fa9d-74"/>
            <w:bookmarkEnd w:id="3"/>
            <w:r>
              <w:rPr>
                <w:shd w:fill="auto" w:val="clear"/>
              </w:rPr>
              <w:t>propose an upsell (to avoid similar problems next time)</w:t>
            </w:r>
            <w:r>
              <w:rPr/>
              <w:t xml:space="preserve"> </w:t>
            </w:r>
          </w:p>
        </w:tc>
      </w:tr>
      <w:tr>
        <w:trPr/>
        <w:tc>
          <w:tcPr>
            <w:tcW w:w="1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52</w:t>
            </w:r>
          </w:p>
        </w:tc>
        <w:tc>
          <w:tcPr>
            <w:tcW w:w="8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bidi w:val="0"/>
              <w:ind w:hanging="0" w:left="0" w:right="0"/>
              <w:rPr/>
            </w:pPr>
            <w:r>
              <w:rPr>
                <w:shd w:fill="auto" w:val="clear"/>
              </w:rPr>
              <w:t xml:space="preserve">If the home content is not covered although it is valuable and the CLTV percentile is high , </w:t>
            </w:r>
            <w:r>
              <w:rPr>
                <w:shd w:fill="auto" w:val="clear"/>
              </w:rPr>
              <w:t xml:space="preserve">while </w:t>
            </w:r>
            <w:r>
              <w:rPr>
                <w:shd w:fill="auto" w:val="clear"/>
              </w:rPr>
              <w:t xml:space="preserve">the customer holds more than 1 policies. </w:t>
            </w:r>
            <w:r>
              <w:rPr>
                <w:shd w:fill="auto" w:val="clear"/>
              </w:rPr>
              <w:t xml:space="preserve">If the </w:t>
            </w:r>
            <w:r>
              <w:rPr>
                <w:shd w:fill="auto" w:val="clear"/>
              </w:rPr>
              <w:t xml:space="preserve">damage can be repaired, </w:t>
            </w:r>
            <w:r>
              <w:rPr>
                <w:shd w:fill="auto" w:val="clear"/>
              </w:rPr>
              <w:t>t</w:t>
            </w:r>
            <w:r>
              <w:rPr>
                <w:shd w:fill="auto" w:val="clear"/>
              </w:rPr>
              <w:t>hen offer a 100€* voucher with an affiliated service provider (e.g. to clean the carpet). Otherwise status quo </w:t>
            </w:r>
          </w:p>
          <w:p>
            <w:pPr>
              <w:pStyle w:val="BodyText"/>
              <w:bidi w:val="0"/>
              <w:spacing w:before="0" w:after="140"/>
              <w:jc w:val="left"/>
              <w:rPr/>
            </w:pPr>
            <w:r>
              <w:rPr/>
              <w:br/>
            </w:r>
          </w:p>
        </w:tc>
      </w:tr>
    </w:tbl>
    <w:p>
      <w:pPr>
        <w:pStyle w:val="BodyText"/>
        <w:bidi w:val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bookmarkStart w:id="4" w:name="docs-internal-guid-638acf23-7fff-bd96-ea"/>
      <w:bookmarkEnd w:id="4"/>
      <w:r>
        <w:rPr>
          <w:shd w:fill="auto" w:val="clear"/>
        </w:rPr>
        <w:t>Claim related to car accident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9"/>
        <w:gridCol w:w="8113"/>
      </w:tblGrid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 60</w:t>
            </w:r>
          </w:p>
        </w:tc>
        <w:tc>
          <w:tcPr>
            <w:tcW w:w="8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ind w:hanging="0" w:left="0" w:right="0"/>
              <w:rPr/>
            </w:pPr>
            <w:bookmarkStart w:id="5" w:name="docs-internal-guid-13a0e703-7fff-4afd-48"/>
            <w:bookmarkEnd w:id="5"/>
            <w:r>
              <w:rPr>
                <w:shd w:fill="auto" w:val="clear"/>
              </w:rPr>
              <w:t xml:space="preserve">When the claim is related to a car accident, with a third party liability policy, </w:t>
            </w:r>
            <w:bookmarkStart w:id="6" w:name="docs-internal-guid-90778551-7fff-0fd2-75"/>
            <w:bookmarkEnd w:id="6"/>
            <w:r>
              <w:rPr>
                <w:shd w:fill="auto" w:val="clear"/>
              </w:rPr>
              <w:t xml:space="preserve">the insured person is responsible for the accident therefore the policy only covers the damage to the other party. If </w:t>
            </w:r>
            <w:r>
              <w:rPr>
                <w:shd w:fill="auto" w:val="clear"/>
              </w:rPr>
              <w:t xml:space="preserve">the client is threatening to leave to the competition </w:t>
            </w:r>
            <w:r>
              <w:rPr>
                <w:shd w:fill="auto" w:val="clear"/>
              </w:rPr>
              <w:t xml:space="preserve">then assess </w:t>
            </w:r>
            <w:r>
              <w:rPr>
                <w:shd w:fill="auto" w:val="clear"/>
              </w:rPr>
              <w:t xml:space="preserve">the CLTV percentile of the customer is higher than 70, </w:t>
            </w:r>
            <w:r>
              <w:rPr>
                <w:shd w:fill="auto" w:val="clear"/>
              </w:rPr>
              <w:t xml:space="preserve">in this case </w:t>
            </w:r>
            <w:r>
              <w:rPr>
                <w:shd w:fill="auto" w:val="clear"/>
              </w:rPr>
              <w:t xml:space="preserve">re-assign to the retention department immediately, </w:t>
            </w:r>
            <w:r>
              <w:rPr>
                <w:shd w:fill="auto" w:val="clear"/>
              </w:rPr>
              <w:t>o</w:t>
            </w:r>
            <w:r>
              <w:rPr>
                <w:shd w:fill="auto" w:val="clear"/>
              </w:rPr>
              <w:t>therwise status quo.</w:t>
            </w:r>
          </w:p>
        </w:tc>
      </w:tr>
    </w:tbl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LibreOffice/24.2.1.2$Windows_X86_64 LibreOffice_project/db4def46b0453cc22e2d0305797cf981b68ef5ac</Application>
  <AppVersion>15.0000</AppVersion>
  <Pages>2</Pages>
  <Words>324</Words>
  <Characters>1634</Characters>
  <CharactersWithSpaces>1931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2024-06-30T14:51:09Z</dcterms:created>
  <dc:creator/>
  <dc:description/>
  <dc:language>en-US</dc:language>
  <cp:lastModifiedBy/>
  <dcterms:modified xsi:type="dcterms:W3CDTF">2024-06-30T15:04:57Z</dcterms:modified>
  <cp:revision>3</cp:revision>
  <dc:subject/>
  <dc:title/>
</cp:coreProperties>
</file>