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7899" w:rsidRDefault="00557899" w:rsidP="009C7EEE">
      <w:pPr>
        <w:shd w:val="clear" w:color="auto" w:fill="FFFFFF"/>
        <w:spacing w:before="180"/>
        <w:jc w:val="center"/>
        <w:rPr>
          <w:b/>
          <w:bCs/>
          <w:color w:val="333333"/>
        </w:rPr>
      </w:pPr>
      <w:r w:rsidRPr="00557899">
        <w:rPr>
          <w:b/>
          <w:bCs/>
          <w:color w:val="333333"/>
        </w:rPr>
        <w:t xml:space="preserve">Результат 1: </w:t>
      </w:r>
      <w:r w:rsidRPr="00557899">
        <w:rPr>
          <w:b/>
          <w:bCs/>
          <w:color w:val="333333"/>
          <w:lang w:val="ru-RU"/>
        </w:rPr>
        <w:t>Обобщен</w:t>
      </w:r>
      <w:r w:rsidR="00A93EF9">
        <w:rPr>
          <w:b/>
          <w:bCs/>
          <w:color w:val="333333"/>
          <w:lang w:val="ru-RU"/>
        </w:rPr>
        <w:t>о</w:t>
      </w:r>
      <w:r w:rsidRPr="00557899">
        <w:rPr>
          <w:b/>
          <w:bCs/>
          <w:color w:val="333333"/>
        </w:rPr>
        <w:t xml:space="preserve"> определени</w:t>
      </w:r>
      <w:r w:rsidR="00A93EF9">
        <w:rPr>
          <w:b/>
          <w:bCs/>
          <w:color w:val="333333"/>
          <w:lang w:val="ru-RU"/>
        </w:rPr>
        <w:t>е</w:t>
      </w:r>
      <w:r w:rsidRPr="00557899">
        <w:rPr>
          <w:b/>
          <w:bCs/>
          <w:color w:val="333333"/>
        </w:rPr>
        <w:t xml:space="preserve"> </w:t>
      </w:r>
      <w:r w:rsidRPr="00557899">
        <w:rPr>
          <w:b/>
          <w:bCs/>
          <w:color w:val="333333"/>
          <w:lang w:val="ru-RU"/>
        </w:rPr>
        <w:t>кредитн</w:t>
      </w:r>
      <w:r w:rsidR="00A93EF9">
        <w:rPr>
          <w:b/>
          <w:bCs/>
          <w:color w:val="333333"/>
          <w:lang w:val="ru-RU"/>
        </w:rPr>
        <w:t>ого</w:t>
      </w:r>
      <w:r w:rsidRPr="00557899">
        <w:rPr>
          <w:b/>
          <w:bCs/>
          <w:color w:val="333333"/>
          <w:lang w:val="ru-RU"/>
        </w:rPr>
        <w:t xml:space="preserve"> </w:t>
      </w:r>
      <w:r w:rsidRPr="00557899">
        <w:rPr>
          <w:b/>
          <w:bCs/>
          <w:color w:val="333333"/>
        </w:rPr>
        <w:t>скоринг</w:t>
      </w:r>
      <w:r w:rsidR="00A93EF9">
        <w:rPr>
          <w:b/>
          <w:bCs/>
          <w:color w:val="333333"/>
          <w:lang w:val="ru-RU"/>
        </w:rPr>
        <w:t>а</w:t>
      </w:r>
      <w:r w:rsidRPr="00557899">
        <w:rPr>
          <w:b/>
          <w:bCs/>
          <w:color w:val="333333"/>
        </w:rPr>
        <w:t xml:space="preserve"> как </w:t>
      </w:r>
      <w:r w:rsidR="00A93EF9">
        <w:rPr>
          <w:b/>
          <w:bCs/>
          <w:color w:val="333333"/>
          <w:lang w:val="ru-RU"/>
        </w:rPr>
        <w:t xml:space="preserve">ИИ-ориентированного </w:t>
      </w:r>
      <w:r w:rsidRPr="00557899">
        <w:rPr>
          <w:b/>
          <w:bCs/>
          <w:color w:val="333333"/>
        </w:rPr>
        <w:t>инструмента прогнозирования кредитного риска в банках второго уровня</w:t>
      </w:r>
    </w:p>
    <w:p w:rsidR="00A93EF9" w:rsidRPr="00557899" w:rsidRDefault="00A93EF9" w:rsidP="00A93EF9">
      <w:pPr>
        <w:shd w:val="clear" w:color="auto" w:fill="FFFFFF"/>
        <w:spacing w:before="180"/>
        <w:jc w:val="center"/>
        <w:rPr>
          <w:lang w:val="ru-RU"/>
        </w:rPr>
      </w:pPr>
      <w:r>
        <w:rPr>
          <w:lang w:val="ru-RU"/>
        </w:rPr>
        <w:t xml:space="preserve">Таблица 1 – Определение кредитного скоринга </w:t>
      </w:r>
      <w:r w:rsidR="004C0B2D">
        <w:rPr>
          <w:lang w:val="ru-RU"/>
        </w:rPr>
        <w:t>в современных практиках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3EF9" w:rsidTr="00A93EF9">
        <w:tc>
          <w:tcPr>
            <w:tcW w:w="4675" w:type="dxa"/>
          </w:tcPr>
          <w:p w:rsidR="00A93EF9" w:rsidRPr="00F87C2B" w:rsidRDefault="00A93EF9" w:rsidP="00A93EF9">
            <w:pPr>
              <w:jc w:val="both"/>
              <w:rPr>
                <w:b/>
                <w:bCs/>
                <w:lang w:val="ru-RU"/>
              </w:rPr>
            </w:pPr>
            <w:r w:rsidRPr="00F87C2B">
              <w:rPr>
                <w:b/>
                <w:bCs/>
                <w:lang w:val="ru-RU"/>
              </w:rPr>
              <w:t>Определение</w:t>
            </w:r>
          </w:p>
        </w:tc>
        <w:tc>
          <w:tcPr>
            <w:tcW w:w="4675" w:type="dxa"/>
          </w:tcPr>
          <w:p w:rsidR="00A93EF9" w:rsidRPr="00F87C2B" w:rsidRDefault="00F30520" w:rsidP="00A93EF9">
            <w:pPr>
              <w:jc w:val="both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Исследователи</w:t>
            </w:r>
          </w:p>
        </w:tc>
      </w:tr>
      <w:tr w:rsidR="00A93EF9" w:rsidTr="00A93EF9">
        <w:tc>
          <w:tcPr>
            <w:tcW w:w="4675" w:type="dxa"/>
          </w:tcPr>
          <w:p w:rsidR="00A93EF9" w:rsidRPr="00F87C2B" w:rsidRDefault="00A93EF9" w:rsidP="00A93EF9">
            <w:pPr>
              <w:pStyle w:val="NormalWeb"/>
              <w:spacing w:before="0" w:beforeAutospacing="0" w:after="0" w:afterAutospacing="0"/>
              <w:jc w:val="both"/>
            </w:pPr>
            <w:r w:rsidRPr="00F87C2B">
              <w:rPr>
                <w:color w:val="000000"/>
                <w:lang w:val="ru-RU"/>
              </w:rPr>
              <w:t>С</w:t>
            </w:r>
            <w:r w:rsidRPr="00F87C2B">
              <w:rPr>
                <w:color w:val="000000"/>
              </w:rPr>
              <w:t>истематический процесс, оценивающий кредитный риск человека на основе различных финансовых факторов и его поведения из прошлого.</w:t>
            </w:r>
          </w:p>
        </w:tc>
        <w:tc>
          <w:tcPr>
            <w:tcW w:w="4675" w:type="dxa"/>
          </w:tcPr>
          <w:p w:rsidR="00A93EF9" w:rsidRPr="00F87C2B" w:rsidRDefault="00F87C2B" w:rsidP="00A93EF9">
            <w:pPr>
              <w:jc w:val="both"/>
            </w:pPr>
            <w:r w:rsidRPr="00F87C2B">
              <w:t>Addy W.A., Ajayi-Nifise A.O., Bello B.G., Tula S.T., Odeyemi O., Falaiye T.</w:t>
            </w:r>
          </w:p>
        </w:tc>
      </w:tr>
      <w:tr w:rsidR="00A93EF9" w:rsidTr="00A93EF9">
        <w:tc>
          <w:tcPr>
            <w:tcW w:w="4675" w:type="dxa"/>
          </w:tcPr>
          <w:p w:rsidR="00A93EF9" w:rsidRPr="00F87C2B" w:rsidRDefault="00A93EF9" w:rsidP="00A93EF9">
            <w:pPr>
              <w:jc w:val="both"/>
              <w:rPr>
                <w:lang w:val="ru-RU"/>
              </w:rPr>
            </w:pPr>
            <w:r w:rsidRPr="00F87C2B">
              <w:rPr>
                <w:color w:val="000000"/>
              </w:rPr>
              <w:t>Фундаментальный инструмент финансового принятия решений, который даёт кредитору ключевое понимание риска потенциального заемщика</w:t>
            </w:r>
            <w:r w:rsidR="004C0B2D" w:rsidRPr="00F87C2B">
              <w:rPr>
                <w:color w:val="000000"/>
                <w:lang w:val="ru-RU"/>
              </w:rPr>
              <w:t>.</w:t>
            </w:r>
          </w:p>
        </w:tc>
        <w:tc>
          <w:tcPr>
            <w:tcW w:w="4675" w:type="dxa"/>
          </w:tcPr>
          <w:p w:rsidR="00A93EF9" w:rsidRPr="00F87C2B" w:rsidRDefault="00F87C2B" w:rsidP="00A93EF9">
            <w:pPr>
              <w:jc w:val="both"/>
            </w:pPr>
            <w:r w:rsidRPr="00F87C2B">
              <w:t>Bari H.</w:t>
            </w:r>
          </w:p>
        </w:tc>
      </w:tr>
      <w:tr w:rsidR="00A93EF9" w:rsidTr="00A93EF9">
        <w:tc>
          <w:tcPr>
            <w:tcW w:w="4675" w:type="dxa"/>
          </w:tcPr>
          <w:p w:rsidR="00A93EF9" w:rsidRPr="00F87C2B" w:rsidRDefault="004C0B2D" w:rsidP="00A93EF9">
            <w:pPr>
              <w:jc w:val="both"/>
            </w:pPr>
            <w:r w:rsidRPr="00F87C2B">
              <w:rPr>
                <w:color w:val="000000"/>
              </w:rPr>
              <w:t>Использование искусственного интеллекта и алгоритмов машинного обучения для оценки кредитоспособности на основе нетрадиционных источников данных.</w:t>
            </w:r>
          </w:p>
        </w:tc>
        <w:tc>
          <w:tcPr>
            <w:tcW w:w="4675" w:type="dxa"/>
          </w:tcPr>
          <w:p w:rsidR="00A93EF9" w:rsidRPr="00F87C2B" w:rsidRDefault="00F87C2B" w:rsidP="00A93EF9">
            <w:pPr>
              <w:jc w:val="both"/>
            </w:pPr>
            <w:r w:rsidRPr="00F87C2B">
              <w:t>Omotosho M.A.</w:t>
            </w:r>
          </w:p>
        </w:tc>
      </w:tr>
      <w:tr w:rsidR="00A93EF9" w:rsidTr="00A93EF9">
        <w:tc>
          <w:tcPr>
            <w:tcW w:w="4675" w:type="dxa"/>
          </w:tcPr>
          <w:p w:rsidR="00A93EF9" w:rsidRPr="00F87C2B" w:rsidRDefault="004C0B2D" w:rsidP="00A93EF9">
            <w:pPr>
              <w:jc w:val="both"/>
              <w:rPr>
                <w:lang w:val="ru-RU"/>
              </w:rPr>
            </w:pPr>
            <w:r w:rsidRPr="00F87C2B">
              <w:rPr>
                <w:color w:val="333333"/>
              </w:rPr>
              <w:t>Процесс количественной оценки кредитоспособности заемщика, при котором прогноз кредитного риска формируется на основе данных о заемщике с использованием моделей машинного обучения</w:t>
            </w:r>
            <w:r w:rsidRPr="00F87C2B">
              <w:rPr>
                <w:color w:val="333333"/>
                <w:lang w:val="ru-RU"/>
              </w:rPr>
              <w:t>.</w:t>
            </w:r>
          </w:p>
        </w:tc>
        <w:tc>
          <w:tcPr>
            <w:tcW w:w="4675" w:type="dxa"/>
          </w:tcPr>
          <w:p w:rsidR="00A93EF9" w:rsidRPr="00F87C2B" w:rsidRDefault="00F87C2B" w:rsidP="00A93EF9">
            <w:pPr>
              <w:jc w:val="both"/>
            </w:pPr>
            <w:r w:rsidRPr="00F87C2B">
              <w:t>Vakrani D.S., Padhye P.S., Gupta S.K., Roy J.K., Nerlekar V.S., Parashar N.</w:t>
            </w:r>
          </w:p>
        </w:tc>
      </w:tr>
      <w:tr w:rsidR="00A93EF9" w:rsidTr="00A93EF9">
        <w:tc>
          <w:tcPr>
            <w:tcW w:w="4675" w:type="dxa"/>
          </w:tcPr>
          <w:p w:rsidR="00A93EF9" w:rsidRPr="00F87C2B" w:rsidRDefault="004C0B2D" w:rsidP="004C0B2D">
            <w:pPr>
              <w:pStyle w:val="NormalWeb"/>
              <w:spacing w:before="0" w:beforeAutospacing="0" w:after="0" w:afterAutospacing="0"/>
              <w:jc w:val="both"/>
              <w:rPr>
                <w:lang w:val="ru-RU"/>
              </w:rPr>
            </w:pPr>
            <w:r w:rsidRPr="00F87C2B">
              <w:rPr>
                <w:color w:val="333333"/>
              </w:rPr>
              <w:t>Оценка кредитоспособности на основе моделей AI/ML, которые используют расширенный набор данных, включая альтернативные показатели (например, платежи за аренду и коммунальные услуги), чтобы повысить полноту и справедливость оценки</w:t>
            </w:r>
            <w:r w:rsidRPr="00F87C2B">
              <w:rPr>
                <w:color w:val="333333"/>
                <w:lang w:val="ru-RU"/>
              </w:rPr>
              <w:t>.</w:t>
            </w:r>
          </w:p>
        </w:tc>
        <w:tc>
          <w:tcPr>
            <w:tcW w:w="4675" w:type="dxa"/>
          </w:tcPr>
          <w:p w:rsidR="00A93EF9" w:rsidRPr="00F87C2B" w:rsidRDefault="00F87C2B" w:rsidP="00A93EF9">
            <w:pPr>
              <w:jc w:val="both"/>
            </w:pPr>
            <w:r w:rsidRPr="00F87C2B">
              <w:t>Nuka T.F., Ogunola A.A.</w:t>
            </w:r>
          </w:p>
        </w:tc>
      </w:tr>
      <w:tr w:rsidR="004C0B2D" w:rsidTr="00A93EF9">
        <w:tc>
          <w:tcPr>
            <w:tcW w:w="4675" w:type="dxa"/>
          </w:tcPr>
          <w:p w:rsidR="004C0B2D" w:rsidRPr="00F87C2B" w:rsidRDefault="004C0B2D" w:rsidP="004C0B2D">
            <w:pPr>
              <w:pStyle w:val="NormalWeb"/>
              <w:spacing w:before="0" w:beforeAutospacing="0" w:after="0" w:afterAutospacing="0"/>
              <w:jc w:val="both"/>
              <w:rPr>
                <w:color w:val="333333"/>
              </w:rPr>
            </w:pPr>
            <w:r w:rsidRPr="00F87C2B">
              <w:rPr>
                <w:color w:val="333333"/>
                <w:shd w:val="clear" w:color="auto" w:fill="FFFFFF"/>
              </w:rPr>
              <w:t>Это процесс оценки кредитного риска без ручного вмешательства, включающий использование машинного обучения (МО) и аналитики больших данных для анализа огромного массива информации.</w:t>
            </w:r>
          </w:p>
        </w:tc>
        <w:tc>
          <w:tcPr>
            <w:tcW w:w="4675" w:type="dxa"/>
          </w:tcPr>
          <w:p w:rsidR="004C0B2D" w:rsidRPr="00F87C2B" w:rsidRDefault="004C0B2D" w:rsidP="004C0B2D">
            <w:pPr>
              <w:pStyle w:val="NormalWeb"/>
              <w:spacing w:before="0" w:beforeAutospacing="0" w:after="0" w:afterAutospacing="0"/>
              <w:jc w:val="both"/>
              <w:rPr>
                <w:lang w:val="ru-RU"/>
              </w:rPr>
            </w:pPr>
            <w:r w:rsidRPr="00F87C2B">
              <w:rPr>
                <w:color w:val="0A0A0A"/>
                <w:shd w:val="clear" w:color="auto" w:fill="FFFFFF"/>
              </w:rPr>
              <w:t xml:space="preserve">Emagia </w:t>
            </w:r>
            <w:r w:rsidRPr="00F87C2B">
              <w:rPr>
                <w:color w:val="0A0A0A"/>
                <w:shd w:val="clear" w:color="auto" w:fill="FFFFFF"/>
                <w:lang w:val="ru-RU"/>
              </w:rPr>
              <w:t>(</w:t>
            </w:r>
            <w:r w:rsidRPr="00F87C2B">
              <w:rPr>
                <w:color w:val="001D35"/>
                <w:shd w:val="clear" w:color="auto" w:fill="FFFFFF"/>
              </w:rPr>
              <w:t>ведущая американская IT-компания в области интеллектуального управления дебиторской задолженностью на основе искусственного интеллекта по версии The Silicon Review 2025</w:t>
            </w:r>
            <w:r w:rsidRPr="00F87C2B">
              <w:rPr>
                <w:color w:val="001D35"/>
                <w:shd w:val="clear" w:color="auto" w:fill="FFFFFF"/>
                <w:lang w:val="ru-RU"/>
              </w:rPr>
              <w:t>)</w:t>
            </w:r>
          </w:p>
        </w:tc>
      </w:tr>
      <w:tr w:rsidR="004C0B2D" w:rsidTr="00F87C2B">
        <w:trPr>
          <w:trHeight w:val="1093"/>
        </w:trPr>
        <w:tc>
          <w:tcPr>
            <w:tcW w:w="4675" w:type="dxa"/>
          </w:tcPr>
          <w:p w:rsidR="004C0B2D" w:rsidRPr="00F87C2B" w:rsidRDefault="00F87C2B" w:rsidP="004C0B2D">
            <w:pPr>
              <w:pStyle w:val="NormalWeb"/>
              <w:spacing w:before="0" w:beforeAutospacing="0" w:after="0" w:afterAutospacing="0"/>
              <w:jc w:val="both"/>
              <w:rPr>
                <w:color w:val="333333"/>
                <w:shd w:val="clear" w:color="auto" w:fill="FFFFFF"/>
              </w:rPr>
            </w:pPr>
            <w:r w:rsidRPr="00F87C2B">
              <w:rPr>
                <w:color w:val="000000"/>
                <w:lang w:val="ru-RU"/>
              </w:rPr>
              <w:t>Статистический</w:t>
            </w:r>
            <w:r w:rsidR="004C0B2D" w:rsidRPr="00F87C2B">
              <w:rPr>
                <w:color w:val="000000"/>
              </w:rPr>
              <w:t xml:space="preserve"> анализ, проводимый финансовыми учреждениями для определения кредитоспособности физических и юридических лиц.</w:t>
            </w:r>
          </w:p>
        </w:tc>
        <w:tc>
          <w:tcPr>
            <w:tcW w:w="4675" w:type="dxa"/>
          </w:tcPr>
          <w:p w:rsidR="004C0B2D" w:rsidRPr="00F87C2B" w:rsidRDefault="004C0B2D" w:rsidP="004C0B2D">
            <w:pPr>
              <w:pStyle w:val="NormalWeb"/>
              <w:spacing w:before="0" w:beforeAutospacing="0" w:after="0" w:afterAutospacing="0"/>
              <w:jc w:val="both"/>
              <w:rPr>
                <w:lang w:val="ru-RU"/>
              </w:rPr>
            </w:pPr>
            <w:r w:rsidRPr="00F87C2B">
              <w:rPr>
                <w:color w:val="1F1F1F"/>
                <w:shd w:val="clear" w:color="auto" w:fill="FFFFFF"/>
              </w:rPr>
              <w:t xml:space="preserve">Invento Labs  </w:t>
            </w:r>
            <w:r w:rsidRPr="00F87C2B">
              <w:rPr>
                <w:color w:val="1F1F1F"/>
                <w:shd w:val="clear" w:color="auto" w:fill="FFFFFF"/>
                <w:lang w:val="ru-RU"/>
              </w:rPr>
              <w:t>(</w:t>
            </w:r>
            <w:r w:rsidRPr="00F87C2B">
              <w:rPr>
                <w:color w:val="001D35"/>
                <w:shd w:val="clear" w:color="auto" w:fill="FFFFFF"/>
              </w:rPr>
              <w:t>белорусская IT-компания</w:t>
            </w:r>
            <w:r w:rsidRPr="00F87C2B">
              <w:rPr>
                <w:color w:val="001D35"/>
                <w:shd w:val="clear" w:color="auto" w:fill="FFFFFF"/>
                <w:lang w:val="ru-RU"/>
              </w:rPr>
              <w:t xml:space="preserve">, </w:t>
            </w:r>
            <w:r w:rsidRPr="00F87C2B">
              <w:rPr>
                <w:color w:val="001D35"/>
                <w:shd w:val="clear" w:color="auto" w:fill="FFFFFF"/>
              </w:rPr>
              <w:t>специализирующаяся на разработке, внедрении и поддержке программного обеспечения на основе open-source</w:t>
            </w:r>
            <w:r w:rsidRPr="00F87C2B">
              <w:rPr>
                <w:color w:val="001D35"/>
                <w:shd w:val="clear" w:color="auto" w:fill="FFFFFF"/>
                <w:lang w:val="ru-RU"/>
              </w:rPr>
              <w:t>).</w:t>
            </w:r>
          </w:p>
        </w:tc>
      </w:tr>
    </w:tbl>
    <w:p w:rsidR="00557899" w:rsidRDefault="00557899"/>
    <w:p w:rsidR="00F87C2B" w:rsidRDefault="00F87C2B" w:rsidP="00057134">
      <w:pPr>
        <w:ind w:firstLine="720"/>
        <w:jc w:val="both"/>
        <w:rPr>
          <w:lang w:val="ru-RU"/>
        </w:rPr>
      </w:pPr>
      <w:r w:rsidRPr="00514393">
        <w:rPr>
          <w:b/>
          <w:bCs/>
          <w:lang w:val="ru-RU"/>
        </w:rPr>
        <w:t>Кредитный скоринг</w:t>
      </w:r>
      <w:r>
        <w:rPr>
          <w:lang w:val="ru-RU"/>
        </w:rPr>
        <w:t xml:space="preserve"> – </w:t>
      </w:r>
      <w:r w:rsidR="00514393">
        <w:rPr>
          <w:lang w:val="ru-RU"/>
        </w:rPr>
        <w:t>систематический</w:t>
      </w:r>
      <w:r>
        <w:rPr>
          <w:lang w:val="ru-RU"/>
        </w:rPr>
        <w:t xml:space="preserve"> процесс, позволяющий </w:t>
      </w:r>
      <w:r w:rsidR="00057134">
        <w:rPr>
          <w:lang w:val="ru-RU"/>
        </w:rPr>
        <w:t>прогнозировать вероятность дефолта заемщика с применением моделей машинного (далее МО) и глубокого (далее ГО) обучения на основе традиционных и альтернативных данных</w:t>
      </w:r>
      <w:r w:rsidR="00514393">
        <w:rPr>
          <w:lang w:val="ru-RU"/>
        </w:rPr>
        <w:t xml:space="preserve">, используемый </w:t>
      </w:r>
      <w:r w:rsidR="00057134">
        <w:rPr>
          <w:lang w:val="ru-RU"/>
        </w:rPr>
        <w:t>банк</w:t>
      </w:r>
      <w:r w:rsidR="00514393">
        <w:rPr>
          <w:lang w:val="ru-RU"/>
        </w:rPr>
        <w:t>ами</w:t>
      </w:r>
      <w:r w:rsidR="00057134">
        <w:rPr>
          <w:lang w:val="ru-RU"/>
        </w:rPr>
        <w:t xml:space="preserve"> второго уровня</w:t>
      </w:r>
      <w:r w:rsidR="00514393">
        <w:rPr>
          <w:lang w:val="ru-RU"/>
        </w:rPr>
        <w:t xml:space="preserve"> при принятии кредитных решений</w:t>
      </w:r>
      <w:r w:rsidR="00057134">
        <w:rPr>
          <w:lang w:val="ru-RU"/>
        </w:rPr>
        <w:t>.</w:t>
      </w:r>
    </w:p>
    <w:p w:rsidR="00057134" w:rsidRDefault="00057134" w:rsidP="000571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057134">
        <w:rPr>
          <w:rFonts w:ascii="Times New Roman" w:hAnsi="Times New Roman" w:cs="Times New Roman"/>
          <w:lang w:val="ru-RU"/>
        </w:rPr>
        <w:t>Под дефолтом понимается неплатежеспособность клиента.</w:t>
      </w:r>
    </w:p>
    <w:p w:rsidR="00057134" w:rsidRPr="00057134" w:rsidRDefault="00057134" w:rsidP="00C314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057134">
        <w:rPr>
          <w:rFonts w:ascii="Times New Roman" w:hAnsi="Times New Roman" w:cs="Times New Roman"/>
          <w:lang w:val="ru-RU"/>
        </w:rPr>
        <w:lastRenderedPageBreak/>
        <w:t>Традиционные данные – кредитная история заявителя, которая представляет собой подробный отчёт обо всех предыдущих кредитах и выплатах, включая просроченные платежи и дефолты.</w:t>
      </w:r>
    </w:p>
    <w:p w:rsidR="00A34B60" w:rsidRDefault="00057134" w:rsidP="00A34B6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057134">
        <w:rPr>
          <w:rFonts w:ascii="Times New Roman" w:hAnsi="Times New Roman" w:cs="Times New Roman"/>
          <w:lang w:val="ru-RU"/>
        </w:rPr>
        <w:t xml:space="preserve">Альтернативные данные </w:t>
      </w:r>
      <w:r>
        <w:rPr>
          <w:rFonts w:ascii="Times New Roman" w:hAnsi="Times New Roman" w:cs="Times New Roman"/>
          <w:lang w:val="ru-RU"/>
        </w:rPr>
        <w:t xml:space="preserve">– </w:t>
      </w:r>
      <w:r w:rsidRPr="00057134">
        <w:rPr>
          <w:rFonts w:ascii="Times New Roman" w:hAnsi="Times New Roman" w:cs="Times New Roman"/>
          <w:lang w:val="ru-RU"/>
        </w:rPr>
        <w:t>счета за коммунальные услуги, арендная плата, информация о банковских счетах и даже активность в социальных сетях, что даёт более полное представление об экономическом поведении соискателя.</w:t>
      </w:r>
    </w:p>
    <w:p w:rsidR="00A34B60" w:rsidRPr="00A34B60" w:rsidRDefault="00A34B60" w:rsidP="00A34B60">
      <w:pPr>
        <w:jc w:val="center"/>
        <w:rPr>
          <w:lang w:val="ru-RU"/>
        </w:rPr>
      </w:pPr>
    </w:p>
    <w:p w:rsidR="00A34B60" w:rsidRPr="00A34B60" w:rsidRDefault="00A34B60" w:rsidP="00A34B60">
      <w:pPr>
        <w:shd w:val="clear" w:color="auto" w:fill="FFFFFF"/>
        <w:spacing w:before="180"/>
        <w:jc w:val="center"/>
      </w:pPr>
      <w:r w:rsidRPr="00A34B60">
        <w:rPr>
          <w:b/>
          <w:bCs/>
          <w:color w:val="333333"/>
        </w:rPr>
        <w:t xml:space="preserve">Результат 2: </w:t>
      </w:r>
      <w:r w:rsidRPr="006660E8">
        <w:rPr>
          <w:b/>
          <w:bCs/>
          <w:color w:val="333333"/>
          <w:lang w:val="ru-RU"/>
        </w:rPr>
        <w:t>Систематизированы о</w:t>
      </w:r>
      <w:r w:rsidRPr="00A34B60">
        <w:rPr>
          <w:b/>
          <w:bCs/>
          <w:color w:val="333333"/>
        </w:rPr>
        <w:t xml:space="preserve">сновные направления применения ИИ в банковском секторе </w:t>
      </w:r>
    </w:p>
    <w:p w:rsidR="00A34B60" w:rsidRPr="006660E8" w:rsidRDefault="00A34B60" w:rsidP="00A34B60">
      <w:pPr>
        <w:rPr>
          <w:sz w:val="18"/>
          <w:szCs w:val="18"/>
        </w:rPr>
      </w:pPr>
    </w:p>
    <w:tbl>
      <w:tblPr>
        <w:tblStyle w:val="TableGrid"/>
        <w:tblW w:w="11199" w:type="dxa"/>
        <w:tblInd w:w="-856" w:type="dxa"/>
        <w:tblLook w:val="04A0" w:firstRow="1" w:lastRow="0" w:firstColumn="1" w:lastColumn="0" w:noHBand="0" w:noVBand="1"/>
      </w:tblPr>
      <w:tblGrid>
        <w:gridCol w:w="2064"/>
        <w:gridCol w:w="1826"/>
        <w:gridCol w:w="2887"/>
        <w:gridCol w:w="2641"/>
        <w:gridCol w:w="1781"/>
      </w:tblGrid>
      <w:tr w:rsidR="00762B1E" w:rsidRPr="006660E8" w:rsidTr="00F30520">
        <w:tc>
          <w:tcPr>
            <w:tcW w:w="2116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Направления применения ИИ</w:t>
            </w:r>
            <w:r w:rsidR="006660E8" w:rsidRPr="006660E8">
              <w:rPr>
                <w:sz w:val="18"/>
                <w:szCs w:val="18"/>
                <w:lang w:val="ru-RU"/>
              </w:rPr>
              <w:t xml:space="preserve"> в банковском секторе</w:t>
            </w:r>
          </w:p>
        </w:tc>
        <w:tc>
          <w:tcPr>
            <w:tcW w:w="1829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Содержание направления</w:t>
            </w:r>
          </w:p>
        </w:tc>
        <w:tc>
          <w:tcPr>
            <w:tcW w:w="3002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Реализация на практике и результаты</w:t>
            </w:r>
          </w:p>
        </w:tc>
        <w:tc>
          <w:tcPr>
            <w:tcW w:w="2409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Преимущества направления</w:t>
            </w:r>
          </w:p>
        </w:tc>
        <w:tc>
          <w:tcPr>
            <w:tcW w:w="1843" w:type="dxa"/>
          </w:tcPr>
          <w:p w:rsidR="00F30520" w:rsidRPr="006660E8" w:rsidRDefault="00B02869" w:rsidP="00F30520">
            <w:pPr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Источники направлений</w:t>
            </w:r>
          </w:p>
        </w:tc>
      </w:tr>
      <w:tr w:rsidR="00762B1E" w:rsidRPr="006660E8" w:rsidTr="00762B1E">
        <w:trPr>
          <w:trHeight w:val="3427"/>
        </w:trPr>
        <w:tc>
          <w:tcPr>
            <w:tcW w:w="2116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 xml:space="preserve">1.Чат-боты и </w:t>
            </w:r>
            <w:proofErr w:type="spellStart"/>
            <w:r w:rsidRPr="006660E8">
              <w:rPr>
                <w:sz w:val="18"/>
                <w:szCs w:val="18"/>
                <w:lang w:val="ru-RU"/>
              </w:rPr>
              <w:t>робоконсультации</w:t>
            </w:r>
            <w:proofErr w:type="spellEnd"/>
          </w:p>
        </w:tc>
        <w:tc>
          <w:tcPr>
            <w:tcW w:w="1829" w:type="dxa"/>
          </w:tcPr>
          <w:p w:rsidR="00F30520" w:rsidRPr="006660E8" w:rsidRDefault="00F30520" w:rsidP="00F30520">
            <w:pPr>
              <w:pStyle w:val="NormalWeb"/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  <w:r w:rsidRPr="006660E8">
              <w:rPr>
                <w:sz w:val="18"/>
                <w:szCs w:val="18"/>
                <w:lang w:val="ru-RU"/>
              </w:rPr>
              <w:t>Автоматизация консультаций, круглосуточная поддержка, обработка жалоб или обращений</w:t>
            </w:r>
          </w:p>
        </w:tc>
        <w:tc>
          <w:tcPr>
            <w:tcW w:w="3002" w:type="dxa"/>
          </w:tcPr>
          <w:p w:rsidR="00762B1E" w:rsidRDefault="00762B1E" w:rsidP="00762B1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z w:val="18"/>
                <w:szCs w:val="18"/>
              </w:rPr>
              <w:t>State Bank of India (SIA):</w:t>
            </w:r>
            <w:r>
              <w:rPr>
                <w:color w:val="000000"/>
                <w:sz w:val="18"/>
                <w:szCs w:val="18"/>
              </w:rPr>
              <w:t xml:space="preserve"> обработка до </w:t>
            </w:r>
            <w:r>
              <w:rPr>
                <w:b/>
                <w:bCs/>
                <w:color w:val="000000"/>
                <w:sz w:val="18"/>
                <w:szCs w:val="18"/>
              </w:rPr>
              <w:t>10 000 запросов/сек</w:t>
            </w:r>
            <w:r>
              <w:rPr>
                <w:color w:val="000000"/>
                <w:sz w:val="18"/>
                <w:szCs w:val="18"/>
              </w:rPr>
              <w:t>, масштабирование поддержки при высокой нагрузке.</w:t>
            </w:r>
            <w:r>
              <w:rPr>
                <w:color w:val="000000"/>
                <w:sz w:val="18"/>
                <w:szCs w:val="18"/>
              </w:rPr>
              <w:br/>
            </w:r>
          </w:p>
          <w:p w:rsidR="00762B1E" w:rsidRDefault="00762B1E" w:rsidP="00762B1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z w:val="18"/>
                <w:szCs w:val="18"/>
              </w:rPr>
              <w:t>Bank of America (Erica):</w:t>
            </w:r>
            <w:r>
              <w:rPr>
                <w:color w:val="000000"/>
                <w:sz w:val="18"/>
                <w:szCs w:val="18"/>
              </w:rPr>
              <w:t xml:space="preserve"> с момента запуска сервисом воспользовались </w:t>
            </w:r>
            <w:r>
              <w:rPr>
                <w:b/>
                <w:bCs/>
                <w:color w:val="000000"/>
                <w:sz w:val="18"/>
                <w:szCs w:val="18"/>
              </w:rPr>
              <w:t>&gt;32 млн клиентов</w:t>
            </w:r>
            <w:r>
              <w:rPr>
                <w:color w:val="000000"/>
                <w:sz w:val="18"/>
                <w:szCs w:val="18"/>
              </w:rPr>
              <w:t xml:space="preserve"> (отчёт, октябрь 2022).</w:t>
            </w:r>
            <w:r>
              <w:rPr>
                <w:color w:val="000000"/>
                <w:sz w:val="18"/>
                <w:szCs w:val="18"/>
              </w:rPr>
              <w:br/>
            </w:r>
          </w:p>
          <w:p w:rsidR="00F632D8" w:rsidRPr="00762B1E" w:rsidRDefault="00762B1E" w:rsidP="00762B1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z w:val="18"/>
                <w:szCs w:val="18"/>
              </w:rPr>
              <w:t>Тинькофф-банк:</w:t>
            </w:r>
            <w:r>
              <w:rPr>
                <w:color w:val="000000"/>
                <w:sz w:val="18"/>
                <w:szCs w:val="18"/>
              </w:rPr>
              <w:t xml:space="preserve"> экономия </w:t>
            </w:r>
            <w:r>
              <w:rPr>
                <w:b/>
                <w:bCs/>
                <w:color w:val="000000"/>
                <w:sz w:val="18"/>
                <w:szCs w:val="18"/>
              </w:rPr>
              <w:t>30–200 млн руб./мес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000000"/>
                <w:sz w:val="18"/>
                <w:szCs w:val="18"/>
              </w:rPr>
              <w:t>&gt;40%</w:t>
            </w:r>
            <w:r>
              <w:rPr>
                <w:color w:val="000000"/>
                <w:sz w:val="18"/>
                <w:szCs w:val="18"/>
              </w:rPr>
              <w:t xml:space="preserve"> клиентов удовлетворяются ответом бота; средняя консультация быстрее примерно на </w:t>
            </w:r>
            <w:r>
              <w:rPr>
                <w:b/>
                <w:bCs/>
                <w:color w:val="000000"/>
                <w:sz w:val="18"/>
                <w:szCs w:val="18"/>
              </w:rPr>
              <w:t>40 секунд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:rsidR="006660E8" w:rsidRDefault="006660E8" w:rsidP="006660E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Снижение операционных затрат на обслуживание клиентов (частичная замена операторов).</w:t>
            </w:r>
          </w:p>
          <w:p w:rsidR="006660E8" w:rsidRDefault="006660E8" w:rsidP="006660E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Сокращение времени на реагирование и обработку запросов.</w:t>
            </w:r>
          </w:p>
          <w:p w:rsidR="006660E8" w:rsidRDefault="006660E8" w:rsidP="006660E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Круглосуточная доступность поддержки.</w:t>
            </w:r>
          </w:p>
          <w:p w:rsidR="006660E8" w:rsidRPr="006660E8" w:rsidRDefault="006660E8" w:rsidP="006660E8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Стандартизация </w:t>
            </w:r>
            <w:r w:rsidR="00C64BCD">
              <w:rPr>
                <w:sz w:val="18"/>
                <w:szCs w:val="18"/>
                <w:lang w:val="ru-RU"/>
              </w:rPr>
              <w:t>качества консультаций</w:t>
            </w:r>
            <w:r>
              <w:rPr>
                <w:sz w:val="18"/>
                <w:szCs w:val="18"/>
                <w:lang w:val="ru-RU"/>
              </w:rPr>
              <w:t>, что снижает влияние человеческого фактора.</w:t>
            </w:r>
          </w:p>
        </w:tc>
        <w:tc>
          <w:tcPr>
            <w:tcW w:w="1843" w:type="dxa"/>
          </w:tcPr>
          <w:p w:rsidR="00F30520" w:rsidRPr="006660E8" w:rsidRDefault="00F632D8" w:rsidP="00F632D8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18"/>
                <w:szCs w:val="18"/>
              </w:rPr>
            </w:pPr>
            <w:r w:rsidRPr="006660E8">
              <w:rPr>
                <w:color w:val="000000"/>
                <w:sz w:val="18"/>
                <w:szCs w:val="18"/>
              </w:rPr>
              <w:t>В.С. Балаян, И. Романович, А. Герасимович, А. Вабищевич,</w:t>
            </w:r>
          </w:p>
          <w:p w:rsidR="00F632D8" w:rsidRPr="006660E8" w:rsidRDefault="00F632D8" w:rsidP="00F632D8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18"/>
                <w:szCs w:val="18"/>
              </w:rPr>
            </w:pPr>
            <w:r w:rsidRPr="006660E8">
              <w:rPr>
                <w:color w:val="000000"/>
                <w:sz w:val="18"/>
                <w:szCs w:val="18"/>
              </w:rPr>
              <w:t>О.Ю. Городецкая, Я.Л. Гобарева, Э.А. Гозгешев, В.Л. Пархоменко, И.С. Кулаева, НБРК</w:t>
            </w:r>
          </w:p>
          <w:p w:rsidR="00F632D8" w:rsidRPr="006660E8" w:rsidRDefault="00F632D8" w:rsidP="00F632D8">
            <w:pPr>
              <w:rPr>
                <w:sz w:val="18"/>
                <w:szCs w:val="18"/>
              </w:rPr>
            </w:pPr>
          </w:p>
          <w:p w:rsidR="00F632D8" w:rsidRPr="006660E8" w:rsidRDefault="00F632D8" w:rsidP="00F632D8">
            <w:pPr>
              <w:pStyle w:val="NormalWeb"/>
              <w:spacing w:before="0" w:beforeAutospacing="0" w:after="0" w:afterAutospacing="0"/>
              <w:jc w:val="both"/>
              <w:rPr>
                <w:sz w:val="18"/>
                <w:szCs w:val="18"/>
              </w:rPr>
            </w:pPr>
          </w:p>
        </w:tc>
      </w:tr>
      <w:tr w:rsidR="00762B1E" w:rsidRPr="006660E8" w:rsidTr="00F30520">
        <w:tc>
          <w:tcPr>
            <w:tcW w:w="2116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2.Персонализация финансовых продуктов</w:t>
            </w:r>
          </w:p>
        </w:tc>
        <w:tc>
          <w:tcPr>
            <w:tcW w:w="1829" w:type="dxa"/>
          </w:tcPr>
          <w:p w:rsidR="00F30520" w:rsidRPr="006660E8" w:rsidRDefault="00F632D8" w:rsidP="00F632D8">
            <w:pPr>
              <w:pStyle w:val="NormalWeb"/>
              <w:spacing w:before="0" w:beforeAutospacing="0" w:after="0" w:afterAutospacing="0"/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Индивидуальные предложения финансовых продуктов или услуг</w:t>
            </w:r>
          </w:p>
        </w:tc>
        <w:tc>
          <w:tcPr>
            <w:tcW w:w="3002" w:type="dxa"/>
          </w:tcPr>
          <w:p w:rsidR="00F30520" w:rsidRPr="006660E8" w:rsidRDefault="00762B1E" w:rsidP="00F30520">
            <w:pPr>
              <w:jc w:val="both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Тинькофф-банк:</w:t>
            </w:r>
            <w:r>
              <w:rPr>
                <w:color w:val="000000"/>
                <w:sz w:val="18"/>
                <w:szCs w:val="18"/>
              </w:rPr>
              <w:t xml:space="preserve"> рекомендательные модели формируют </w:t>
            </w:r>
            <w:r>
              <w:rPr>
                <w:b/>
                <w:bCs/>
                <w:color w:val="000000"/>
                <w:sz w:val="18"/>
                <w:szCs w:val="18"/>
              </w:rPr>
              <w:t>персональные предложения</w:t>
            </w:r>
            <w:r>
              <w:rPr>
                <w:color w:val="000000"/>
                <w:sz w:val="18"/>
                <w:szCs w:val="18"/>
              </w:rPr>
              <w:t xml:space="preserve"> на основе поведения клиента (например, напоминания о регулярных покупках, подсказки по операциям и действиям в приложении).</w:t>
            </w:r>
          </w:p>
        </w:tc>
        <w:tc>
          <w:tcPr>
            <w:tcW w:w="2409" w:type="dxa"/>
          </w:tcPr>
          <w:p w:rsidR="00C64BCD" w:rsidRDefault="00C64BCD" w:rsidP="00D6409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Повышение релевантности предложений за счет анализа предпочтений и поведения клиентов.</w:t>
            </w:r>
          </w:p>
          <w:p w:rsidR="00F30520" w:rsidRPr="00D64092" w:rsidRDefault="006660E8" w:rsidP="00D6409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6409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Рост удержания клиентов</w:t>
            </w:r>
            <w:r w:rsidR="00D64092" w:rsidRPr="00D6409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через персонализ</w:t>
            </w:r>
            <w:r w:rsidR="00C64BCD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ированные</w:t>
            </w:r>
            <w:r w:rsidR="00D64092" w:rsidRPr="00D6409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услуг</w:t>
            </w:r>
            <w:r w:rsidR="00C64BCD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и</w:t>
            </w:r>
            <w:r w:rsidR="00D64092" w:rsidRPr="00D64092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D64092" w:rsidRPr="00D64092" w:rsidRDefault="00D64092" w:rsidP="00D6409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Улучшение клиентского опыта</w:t>
            </w:r>
            <w:r w:rsidR="00C64BCD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благодаря персонализации.</w:t>
            </w:r>
          </w:p>
        </w:tc>
        <w:tc>
          <w:tcPr>
            <w:tcW w:w="1843" w:type="dxa"/>
          </w:tcPr>
          <w:p w:rsidR="00F30520" w:rsidRPr="006660E8" w:rsidRDefault="00F96049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В.С. Балаян, О.Ю. Городецкая, Я.Л. Гобарева, Э.А. Гозгешев, НБРК</w:t>
            </w:r>
          </w:p>
        </w:tc>
      </w:tr>
      <w:tr w:rsidR="00762B1E" w:rsidRPr="006660E8" w:rsidTr="00F30520">
        <w:tc>
          <w:tcPr>
            <w:tcW w:w="2116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3.Антифрод</w:t>
            </w:r>
          </w:p>
        </w:tc>
        <w:tc>
          <w:tcPr>
            <w:tcW w:w="1829" w:type="dxa"/>
          </w:tcPr>
          <w:p w:rsidR="00F30520" w:rsidRPr="006660E8" w:rsidRDefault="00F96049" w:rsidP="00F96049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color w:val="000000"/>
                <w:sz w:val="18"/>
                <w:szCs w:val="18"/>
              </w:rPr>
              <w:t>Выявление аномальных финансовых операций, предупреждение мошенничества</w:t>
            </w:r>
          </w:p>
        </w:tc>
        <w:tc>
          <w:tcPr>
            <w:tcW w:w="3002" w:type="dxa"/>
          </w:tcPr>
          <w:p w:rsidR="00762B1E" w:rsidRDefault="00762B1E" w:rsidP="00762B1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b/>
                <w:bCs/>
                <w:color w:val="000000"/>
                <w:sz w:val="18"/>
                <w:szCs w:val="18"/>
              </w:rPr>
              <w:t>JPMorgan Chase:</w:t>
            </w:r>
            <w:r>
              <w:rPr>
                <w:color w:val="000000"/>
                <w:sz w:val="18"/>
                <w:szCs w:val="18"/>
              </w:rPr>
              <w:t xml:space="preserve"> применение ML-предиктивной аналитики для выявления мошенничества </w:t>
            </w:r>
            <w:r>
              <w:rPr>
                <w:b/>
                <w:bCs/>
                <w:color w:val="000000"/>
                <w:sz w:val="18"/>
                <w:szCs w:val="18"/>
              </w:rPr>
              <w:t>в реальном времени</w:t>
            </w:r>
            <w:r>
              <w:rPr>
                <w:color w:val="000000"/>
                <w:sz w:val="18"/>
                <w:szCs w:val="18"/>
              </w:rPr>
              <w:t xml:space="preserve">; снижение ущерба, по оценкам, </w:t>
            </w:r>
            <w:r>
              <w:rPr>
                <w:b/>
                <w:bCs/>
                <w:color w:val="000000"/>
                <w:sz w:val="18"/>
                <w:szCs w:val="18"/>
              </w:rPr>
              <w:t>&gt;100 млн долл. США/год</w:t>
            </w: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br/>
            </w:r>
          </w:p>
          <w:p w:rsidR="00F96049" w:rsidRPr="00762B1E" w:rsidRDefault="00762B1E" w:rsidP="00762B1E">
            <w:pPr>
              <w:jc w:val="both"/>
              <w:rPr>
                <w:color w:val="000000" w:themeColor="text1"/>
                <w:sz w:val="18"/>
                <w:szCs w:val="18"/>
                <w:lang w:val="ru-RU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Антифрод-центр НБ РК:</w:t>
            </w:r>
            <w:r>
              <w:rPr>
                <w:color w:val="000000"/>
                <w:sz w:val="18"/>
                <w:szCs w:val="18"/>
              </w:rPr>
              <w:t xml:space="preserve"> за </w:t>
            </w:r>
            <w:r>
              <w:rPr>
                <w:b/>
                <w:bCs/>
                <w:color w:val="000000"/>
                <w:sz w:val="18"/>
                <w:szCs w:val="18"/>
              </w:rPr>
              <w:t>6 месяцев</w:t>
            </w:r>
            <w:r>
              <w:rPr>
                <w:color w:val="000000"/>
                <w:sz w:val="18"/>
                <w:szCs w:val="18"/>
              </w:rPr>
              <w:t xml:space="preserve"> зарегистрировано </w:t>
            </w:r>
            <w:r>
              <w:rPr>
                <w:b/>
                <w:bCs/>
                <w:color w:val="000000"/>
                <w:sz w:val="18"/>
                <w:szCs w:val="18"/>
              </w:rPr>
              <w:t>17 802</w:t>
            </w:r>
            <w:r>
              <w:rPr>
                <w:color w:val="000000"/>
                <w:sz w:val="18"/>
                <w:szCs w:val="18"/>
              </w:rPr>
              <w:t xml:space="preserve"> инцидента; заблокировано около </w:t>
            </w:r>
            <w:r>
              <w:rPr>
                <w:b/>
                <w:bCs/>
                <w:color w:val="000000"/>
                <w:sz w:val="18"/>
                <w:szCs w:val="18"/>
              </w:rPr>
              <w:t>1,5 млрд тенге</w:t>
            </w:r>
            <w:r>
              <w:rPr>
                <w:color w:val="000000"/>
                <w:sz w:val="18"/>
                <w:szCs w:val="18"/>
              </w:rPr>
              <w:t>, что позволило снизить ущерб от мошенничества</w:t>
            </w:r>
            <w:r>
              <w:rPr>
                <w:color w:val="000000"/>
                <w:sz w:val="18"/>
                <w:szCs w:val="18"/>
                <w:lang w:val="ru-RU"/>
              </w:rPr>
              <w:t>.</w:t>
            </w:r>
          </w:p>
        </w:tc>
        <w:tc>
          <w:tcPr>
            <w:tcW w:w="2409" w:type="dxa"/>
          </w:tcPr>
          <w:p w:rsidR="00F30520" w:rsidRPr="00D64092" w:rsidRDefault="006660E8" w:rsidP="00D6409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64092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 xml:space="preserve">Снижение </w:t>
            </w:r>
            <w:r w:rsidR="00D64092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 xml:space="preserve">финансовых </w:t>
            </w:r>
            <w:r w:rsidRPr="00D64092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потерь от мошенничества</w:t>
            </w:r>
            <w:r w:rsidR="00D64092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 xml:space="preserve"> за счет раннего выявления подозрительных операций.</w:t>
            </w:r>
          </w:p>
          <w:p w:rsidR="00D64092" w:rsidRPr="00D64092" w:rsidRDefault="00D64092" w:rsidP="00D6409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Обнаружение аномалий в режиме реального времени, быстрая реакция на блокировку транзакций.</w:t>
            </w:r>
          </w:p>
          <w:p w:rsidR="00D64092" w:rsidRPr="00D64092" w:rsidRDefault="00D64092" w:rsidP="00D6409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lastRenderedPageBreak/>
              <w:t>Усиление доверия к банковским сервисам за счет повышения безопасности.</w:t>
            </w:r>
          </w:p>
        </w:tc>
        <w:tc>
          <w:tcPr>
            <w:tcW w:w="1843" w:type="dxa"/>
          </w:tcPr>
          <w:p w:rsidR="00F30520" w:rsidRPr="006660E8" w:rsidRDefault="00D64092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D64092">
              <w:rPr>
                <w:sz w:val="18"/>
                <w:szCs w:val="18"/>
                <w:lang w:val="ru-RU"/>
              </w:rPr>
              <w:lastRenderedPageBreak/>
              <w:t>О.Ю. Городецкая, Я.Л. Гобарева, Э.А. Гозгешев, В.Л. Пархоменко, И.С. Кулаева, Д.И. Михайлов, N. Mehndiratta, G. Arora, R. Bathla, НБРК</w:t>
            </w:r>
          </w:p>
        </w:tc>
      </w:tr>
      <w:tr w:rsidR="00762B1E" w:rsidRPr="006660E8" w:rsidTr="00F30520">
        <w:tc>
          <w:tcPr>
            <w:tcW w:w="2116" w:type="dxa"/>
          </w:tcPr>
          <w:p w:rsidR="00F30520" w:rsidRPr="006660E8" w:rsidRDefault="00F30520" w:rsidP="00F30520">
            <w:pPr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sz w:val="18"/>
                <w:szCs w:val="18"/>
                <w:lang w:val="ru-RU"/>
              </w:rPr>
              <w:t>4.</w:t>
            </w:r>
            <w:r w:rsidRPr="006660E8">
              <w:rPr>
                <w:b/>
                <w:bCs/>
                <w:sz w:val="18"/>
                <w:szCs w:val="18"/>
                <w:lang w:val="ru-RU"/>
              </w:rPr>
              <w:t>Кредитный скоринг</w:t>
            </w:r>
          </w:p>
        </w:tc>
        <w:tc>
          <w:tcPr>
            <w:tcW w:w="1829" w:type="dxa"/>
          </w:tcPr>
          <w:p w:rsidR="00F30520" w:rsidRPr="006660E8" w:rsidRDefault="006660E8" w:rsidP="006660E8">
            <w:pPr>
              <w:pStyle w:val="NormalWeb"/>
              <w:spacing w:before="0" w:beforeAutospacing="0" w:after="0" w:afterAutospacing="0"/>
              <w:jc w:val="both"/>
              <w:rPr>
                <w:sz w:val="18"/>
                <w:szCs w:val="18"/>
                <w:lang w:val="ru-RU"/>
              </w:rPr>
            </w:pPr>
            <w:r w:rsidRPr="006660E8">
              <w:rPr>
                <w:color w:val="000000" w:themeColor="text1"/>
                <w:sz w:val="18"/>
                <w:szCs w:val="18"/>
                <w:lang w:val="ru-RU"/>
              </w:rPr>
              <w:t>Оценка кредитоспособности заемщиков банка, прогноз вероятности дефолта, автоматизация одобрения или отказа в кредите</w:t>
            </w:r>
          </w:p>
        </w:tc>
        <w:tc>
          <w:tcPr>
            <w:tcW w:w="3002" w:type="dxa"/>
          </w:tcPr>
          <w:p w:rsidR="00762B1E" w:rsidRDefault="00762B1E" w:rsidP="00762B1E">
            <w:pPr>
              <w:pStyle w:val="NormalWeb"/>
              <w:spacing w:before="240" w:beforeAutospacing="0" w:after="240" w:afterAutospacing="0"/>
            </w:pPr>
            <w:r>
              <w:rPr>
                <w:b/>
                <w:bCs/>
                <w:color w:val="000000"/>
                <w:sz w:val="18"/>
                <w:szCs w:val="18"/>
              </w:rPr>
              <w:t>Tonik (Philippines):</w:t>
            </w:r>
            <w:r>
              <w:rPr>
                <w:color w:val="000000"/>
                <w:sz w:val="18"/>
                <w:szCs w:val="18"/>
              </w:rPr>
              <w:t xml:space="preserve"> модель </w:t>
            </w:r>
            <w:r>
              <w:rPr>
                <w:b/>
                <w:bCs/>
                <w:color w:val="000000"/>
                <w:sz w:val="18"/>
                <w:szCs w:val="18"/>
              </w:rPr>
              <w:t>FinScore</w:t>
            </w:r>
            <w:r>
              <w:rPr>
                <w:color w:val="000000"/>
                <w:sz w:val="18"/>
                <w:szCs w:val="18"/>
              </w:rPr>
              <w:t xml:space="preserve"> оценивает клиентов без кредитной истории на основе телеком-данных (около </w:t>
            </w:r>
            <w:r>
              <w:rPr>
                <w:b/>
                <w:bCs/>
                <w:color w:val="000000"/>
                <w:sz w:val="18"/>
                <w:szCs w:val="18"/>
              </w:rPr>
              <w:t>400 параметров</w:t>
            </w:r>
            <w:r>
              <w:rPr>
                <w:color w:val="000000"/>
                <w:sz w:val="18"/>
                <w:szCs w:val="18"/>
              </w:rPr>
              <w:t>), расширяя доступ к кредитованию.</w:t>
            </w:r>
          </w:p>
          <w:p w:rsidR="00762B1E" w:rsidRPr="00762B1E" w:rsidRDefault="00762B1E" w:rsidP="00762B1E">
            <w:pPr>
              <w:pStyle w:val="NormalWeb"/>
              <w:spacing w:before="240" w:beforeAutospacing="0" w:after="240" w:afterAutospacing="0"/>
              <w:rPr>
                <w:color w:val="000000" w:themeColor="text1"/>
                <w:sz w:val="18"/>
                <w:szCs w:val="18"/>
                <w:lang w:val="ru-RU"/>
              </w:rPr>
            </w:pPr>
            <w:r w:rsidRPr="00762B1E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WeBank (China):</w:t>
            </w:r>
            <w:r w:rsidRPr="00762B1E">
              <w:rPr>
                <w:color w:val="000000" w:themeColor="text1"/>
                <w:sz w:val="18"/>
                <w:szCs w:val="18"/>
                <w:lang w:val="ru-RU"/>
              </w:rPr>
              <w:t xml:space="preserve"> применяет ИИ и данные экосистемы </w:t>
            </w:r>
            <w:r w:rsidRPr="00762B1E">
              <w:rPr>
                <w:b/>
                <w:bCs/>
                <w:color w:val="000000" w:themeColor="text1"/>
                <w:sz w:val="18"/>
                <w:szCs w:val="18"/>
                <w:lang w:val="ru-RU"/>
              </w:rPr>
              <w:t>Tencent/WeChat</w:t>
            </w:r>
            <w:r w:rsidRPr="00762B1E">
              <w:rPr>
                <w:color w:val="000000" w:themeColor="text1"/>
                <w:sz w:val="18"/>
                <w:szCs w:val="18"/>
                <w:lang w:val="ru-RU"/>
              </w:rPr>
              <w:t xml:space="preserve"> для оценки кредитного риска и выдачи кредитов МСБ с ограниченной историей; интеграция поведенческих и транзакционных данных поддерживает персонализированный скоринг.</w:t>
            </w:r>
          </w:p>
          <w:p w:rsidR="00762B1E" w:rsidRDefault="00762B1E" w:rsidP="00762B1E">
            <w:pPr>
              <w:pStyle w:val="NormalWeb"/>
              <w:spacing w:before="240" w:beforeAutospacing="0" w:after="240" w:afterAutospacing="0"/>
            </w:pPr>
            <w:r>
              <w:rPr>
                <w:b/>
                <w:bCs/>
                <w:color w:val="000000"/>
                <w:sz w:val="18"/>
                <w:szCs w:val="18"/>
              </w:rPr>
              <w:t>Zest AI (USA):</w:t>
            </w:r>
            <w:r>
              <w:rPr>
                <w:color w:val="000000"/>
                <w:sz w:val="18"/>
                <w:szCs w:val="18"/>
              </w:rPr>
              <w:t xml:space="preserve"> AI-скоринг повышает долю одобрений на </w:t>
            </w:r>
            <w:r>
              <w:rPr>
                <w:b/>
                <w:bCs/>
                <w:color w:val="000000"/>
                <w:sz w:val="18"/>
                <w:szCs w:val="18"/>
              </w:rPr>
              <w:t>20–30%</w:t>
            </w:r>
            <w:r>
              <w:rPr>
                <w:color w:val="000000"/>
                <w:sz w:val="18"/>
                <w:szCs w:val="18"/>
              </w:rPr>
              <w:t xml:space="preserve"> при сопоставимом уровне риска; решения используются более чем в </w:t>
            </w:r>
            <w:r>
              <w:rPr>
                <w:b/>
                <w:bCs/>
                <w:color w:val="000000"/>
                <w:sz w:val="18"/>
                <w:szCs w:val="18"/>
              </w:rPr>
              <w:t>180</w:t>
            </w:r>
            <w:r>
              <w:rPr>
                <w:color w:val="000000"/>
                <w:sz w:val="18"/>
                <w:szCs w:val="18"/>
              </w:rPr>
              <w:t xml:space="preserve"> банках и кредитных союзах.</w:t>
            </w:r>
          </w:p>
          <w:p w:rsidR="00F30520" w:rsidRPr="00B02869" w:rsidRDefault="00762B1E" w:rsidP="00B02869">
            <w:pPr>
              <w:pStyle w:val="NormalWeb"/>
              <w:spacing w:before="240" w:beforeAutospacing="0" w:after="240" w:afterAutospacing="0"/>
            </w:pPr>
            <w:r>
              <w:rPr>
                <w:b/>
                <w:bCs/>
                <w:color w:val="000000"/>
                <w:sz w:val="18"/>
                <w:szCs w:val="18"/>
              </w:rPr>
              <w:t>ВТБ:</w:t>
            </w:r>
            <w:r>
              <w:rPr>
                <w:color w:val="000000"/>
                <w:sz w:val="18"/>
                <w:szCs w:val="18"/>
              </w:rPr>
              <w:t xml:space="preserve"> применение ИИ привело к росту выдачи розничных кредитов примерно на </w:t>
            </w:r>
            <w:r>
              <w:rPr>
                <w:b/>
                <w:bCs/>
                <w:color w:val="000000"/>
                <w:sz w:val="18"/>
                <w:szCs w:val="18"/>
              </w:rPr>
              <w:t>20%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:rsidR="00F30520" w:rsidRDefault="00D64092" w:rsidP="00F30520">
            <w:pPr>
              <w:jc w:val="both"/>
              <w:rPr>
                <w:color w:val="000000" w:themeColor="text1"/>
                <w:sz w:val="18"/>
                <w:szCs w:val="18"/>
                <w:lang w:val="ru-RU"/>
              </w:rPr>
            </w:pPr>
            <w:r>
              <w:rPr>
                <w:color w:val="000000" w:themeColor="text1"/>
                <w:sz w:val="18"/>
                <w:szCs w:val="18"/>
                <w:lang w:val="ru-RU"/>
              </w:rPr>
              <w:t>1. Повышение точности прогнозирования дефолта.</w:t>
            </w:r>
          </w:p>
          <w:p w:rsidR="00D64092" w:rsidRDefault="00D64092" w:rsidP="00F30520">
            <w:pPr>
              <w:jc w:val="both"/>
              <w:rPr>
                <w:color w:val="000000" w:themeColor="text1"/>
                <w:sz w:val="18"/>
                <w:szCs w:val="18"/>
                <w:lang w:val="ru-RU"/>
              </w:rPr>
            </w:pPr>
            <w:r>
              <w:rPr>
                <w:color w:val="000000" w:themeColor="text1"/>
                <w:sz w:val="18"/>
                <w:szCs w:val="18"/>
                <w:lang w:val="ru-RU"/>
              </w:rPr>
              <w:t>2. Быстрое принятие кредитных решений за счет автоматизации.</w:t>
            </w:r>
          </w:p>
          <w:p w:rsidR="00D64092" w:rsidRDefault="00D64092" w:rsidP="00F30520">
            <w:pPr>
              <w:jc w:val="both"/>
              <w:rPr>
                <w:color w:val="000000" w:themeColor="text1"/>
                <w:sz w:val="18"/>
                <w:szCs w:val="18"/>
                <w:lang w:val="ru-RU"/>
              </w:rPr>
            </w:pPr>
            <w:r>
              <w:rPr>
                <w:color w:val="000000" w:themeColor="text1"/>
                <w:sz w:val="18"/>
                <w:szCs w:val="18"/>
                <w:lang w:val="ru-RU"/>
              </w:rPr>
              <w:t>3. Расширение финансовой доступности для клиентов без кредитной истории через альтернативные данные.</w:t>
            </w:r>
          </w:p>
          <w:p w:rsidR="00D64092" w:rsidRPr="006660E8" w:rsidRDefault="00D64092" w:rsidP="00F30520">
            <w:pPr>
              <w:jc w:val="both"/>
              <w:rPr>
                <w:color w:val="000000" w:themeColor="text1"/>
                <w:sz w:val="18"/>
                <w:szCs w:val="18"/>
                <w:lang w:val="ru-RU"/>
              </w:rPr>
            </w:pPr>
            <w:r>
              <w:rPr>
                <w:color w:val="000000" w:themeColor="text1"/>
                <w:sz w:val="18"/>
                <w:szCs w:val="18"/>
                <w:lang w:val="ru-RU"/>
              </w:rPr>
              <w:t xml:space="preserve">4. Снижение </w:t>
            </w:r>
            <w:r w:rsidR="00C64BCD">
              <w:rPr>
                <w:color w:val="000000" w:themeColor="text1"/>
                <w:sz w:val="18"/>
                <w:szCs w:val="18"/>
                <w:lang w:val="ru-RU"/>
              </w:rPr>
              <w:t xml:space="preserve">кредитных </w:t>
            </w:r>
            <w:r>
              <w:rPr>
                <w:color w:val="000000" w:themeColor="text1"/>
                <w:sz w:val="18"/>
                <w:szCs w:val="18"/>
                <w:lang w:val="ru-RU"/>
              </w:rPr>
              <w:t xml:space="preserve">потерь </w:t>
            </w:r>
            <w:r w:rsidR="00C64BCD">
              <w:rPr>
                <w:color w:val="000000" w:themeColor="text1"/>
                <w:sz w:val="18"/>
                <w:szCs w:val="18"/>
                <w:lang w:val="ru-RU"/>
              </w:rPr>
              <w:t>за счет более точной оценки риска.</w:t>
            </w:r>
          </w:p>
        </w:tc>
        <w:tc>
          <w:tcPr>
            <w:tcW w:w="1843" w:type="dxa"/>
          </w:tcPr>
          <w:p w:rsidR="006660E8" w:rsidRPr="006660E8" w:rsidRDefault="006660E8" w:rsidP="006660E8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18"/>
                <w:szCs w:val="18"/>
                <w:lang w:val="ru-RU"/>
              </w:rPr>
            </w:pPr>
            <w:r w:rsidRPr="006660E8">
              <w:rPr>
                <w:color w:val="000000" w:themeColor="text1"/>
                <w:sz w:val="18"/>
                <w:szCs w:val="18"/>
                <w:lang w:val="ru-RU"/>
              </w:rPr>
              <w:t>О.Ю. Городецкая, Я.Л. Гобарева, Э.А. Гозгешев, В.Л. Пархоменко, И.С. Кулаева, Д.И. Михайлов, N. Mehndiratta, G. Arora, R. Bathla, НБРК</w:t>
            </w:r>
          </w:p>
          <w:p w:rsidR="006660E8" w:rsidRPr="006660E8" w:rsidRDefault="006660E8" w:rsidP="006660E8">
            <w:pPr>
              <w:rPr>
                <w:color w:val="000000" w:themeColor="text1"/>
                <w:sz w:val="18"/>
                <w:szCs w:val="18"/>
                <w:lang w:val="ru-RU"/>
              </w:rPr>
            </w:pPr>
          </w:p>
          <w:p w:rsidR="00F30520" w:rsidRPr="006660E8" w:rsidRDefault="00F30520" w:rsidP="00F30520">
            <w:pPr>
              <w:jc w:val="both"/>
              <w:rPr>
                <w:color w:val="000000" w:themeColor="text1"/>
                <w:sz w:val="18"/>
                <w:szCs w:val="18"/>
                <w:lang w:val="ru-RU"/>
              </w:rPr>
            </w:pPr>
          </w:p>
        </w:tc>
      </w:tr>
    </w:tbl>
    <w:p w:rsidR="00A34B60" w:rsidRPr="00A34B60" w:rsidRDefault="00A34B60" w:rsidP="00F30520">
      <w:pPr>
        <w:jc w:val="both"/>
        <w:rPr>
          <w:sz w:val="18"/>
          <w:szCs w:val="18"/>
          <w:lang w:val="ru-RU"/>
        </w:rPr>
      </w:pPr>
    </w:p>
    <w:p w:rsidR="00BE5347" w:rsidRDefault="00BE5347" w:rsidP="00BE5347">
      <w:pPr>
        <w:pStyle w:val="NormalWeb"/>
        <w:shd w:val="clear" w:color="auto" w:fill="FFFFFF"/>
        <w:spacing w:before="180" w:beforeAutospacing="0" w:after="0" w:afterAutospacing="0"/>
        <w:jc w:val="center"/>
        <w:rPr>
          <w:b/>
          <w:bCs/>
          <w:color w:val="333333"/>
        </w:rPr>
      </w:pPr>
      <w:r w:rsidRPr="00BE5347">
        <w:rPr>
          <w:b/>
          <w:bCs/>
          <w:color w:val="333333"/>
        </w:rPr>
        <w:t>Результат 3:</w:t>
      </w:r>
      <w:r w:rsidR="00EF2D5D">
        <w:rPr>
          <w:b/>
          <w:bCs/>
          <w:color w:val="333333"/>
          <w:lang w:val="ru-RU"/>
        </w:rPr>
        <w:t xml:space="preserve"> Систематизированы </w:t>
      </w:r>
      <w:r w:rsidR="004A0656">
        <w:rPr>
          <w:b/>
          <w:bCs/>
          <w:color w:val="333333"/>
          <w:lang w:val="ru-RU"/>
        </w:rPr>
        <w:t xml:space="preserve">основные </w:t>
      </w:r>
      <w:r w:rsidR="00EF2D5D">
        <w:rPr>
          <w:b/>
          <w:bCs/>
          <w:color w:val="333333"/>
          <w:lang w:val="ru-RU"/>
        </w:rPr>
        <w:t xml:space="preserve">данные о заемщиках для кредитного скоринга: традиционные и альтернативные </w:t>
      </w:r>
      <w:r w:rsidR="00931B58">
        <w:rPr>
          <w:b/>
          <w:bCs/>
          <w:color w:val="333333"/>
          <w:lang w:val="ru-RU"/>
        </w:rPr>
        <w:t>признаки</w:t>
      </w:r>
      <w:r w:rsidR="00EF2D5D">
        <w:rPr>
          <w:b/>
          <w:bCs/>
          <w:color w:val="333333"/>
          <w:lang w:val="ru-RU"/>
        </w:rPr>
        <w:t xml:space="preserve"> </w:t>
      </w:r>
    </w:p>
    <w:tbl>
      <w:tblPr>
        <w:tblStyle w:val="TableGrid"/>
        <w:tblW w:w="6574" w:type="dxa"/>
        <w:jc w:val="center"/>
        <w:tblLook w:val="04A0" w:firstRow="1" w:lastRow="0" w:firstColumn="1" w:lastColumn="0" w:noHBand="0" w:noVBand="1"/>
      </w:tblPr>
      <w:tblGrid>
        <w:gridCol w:w="3006"/>
        <w:gridCol w:w="3568"/>
      </w:tblGrid>
      <w:tr w:rsidR="004A0656" w:rsidTr="004A0656">
        <w:trPr>
          <w:jc w:val="center"/>
        </w:trPr>
        <w:tc>
          <w:tcPr>
            <w:tcW w:w="3006" w:type="dxa"/>
          </w:tcPr>
          <w:p w:rsidR="004A0656" w:rsidRPr="00931B58" w:rsidRDefault="004A0656" w:rsidP="00931B58">
            <w:pPr>
              <w:pStyle w:val="NormalWeb"/>
              <w:spacing w:before="180" w:beforeAutospacing="0" w:after="0" w:afterAutospacing="0"/>
              <w:jc w:val="center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Традиционные признаки</w:t>
            </w:r>
          </w:p>
        </w:tc>
        <w:tc>
          <w:tcPr>
            <w:tcW w:w="3568" w:type="dxa"/>
          </w:tcPr>
          <w:p w:rsidR="004A0656" w:rsidRPr="00931B58" w:rsidRDefault="004A0656" w:rsidP="00931B58">
            <w:pPr>
              <w:pStyle w:val="NormalWeb"/>
              <w:spacing w:before="180" w:beforeAutospacing="0" w:after="0" w:afterAutospacing="0"/>
              <w:jc w:val="center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Альтернативные признаки (применение ИИ)</w:t>
            </w:r>
          </w:p>
        </w:tc>
      </w:tr>
      <w:tr w:rsidR="004A0656" w:rsidTr="004A0656">
        <w:trPr>
          <w:jc w:val="center"/>
        </w:trPr>
        <w:tc>
          <w:tcPr>
            <w:tcW w:w="3006" w:type="dxa"/>
          </w:tcPr>
          <w:p w:rsidR="004A0656" w:rsidRPr="00E61AA3" w:rsidRDefault="004A0656" w:rsidP="00E44FA9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 w:rsidRPr="00E44FA9">
              <w:rPr>
                <w:b/>
                <w:bCs/>
                <w:color w:val="333333"/>
                <w:lang w:val="ru-RU"/>
              </w:rPr>
              <w:t>Кредитная история:</w:t>
            </w:r>
            <w:r>
              <w:rPr>
                <w:color w:val="333333"/>
                <w:lang w:val="ru-RU"/>
              </w:rPr>
              <w:t xml:space="preserve"> </w:t>
            </w:r>
            <w:r w:rsidR="00E44FA9">
              <w:rPr>
                <w:color w:val="333333"/>
                <w:lang w:val="ru-RU"/>
              </w:rPr>
              <w:t>наличие</w:t>
            </w:r>
            <w:r w:rsidR="007C10D6" w:rsidRPr="007C10D6">
              <w:rPr>
                <w:color w:val="333333"/>
                <w:lang w:val="ru-RU"/>
              </w:rPr>
              <w:t>/</w:t>
            </w:r>
            <w:r w:rsidR="007C10D6">
              <w:rPr>
                <w:color w:val="333333"/>
                <w:lang w:val="ru-RU"/>
              </w:rPr>
              <w:t>частота</w:t>
            </w:r>
            <w:r w:rsidR="00E44FA9">
              <w:rPr>
                <w:color w:val="333333"/>
                <w:lang w:val="ru-RU"/>
              </w:rPr>
              <w:t xml:space="preserve"> </w:t>
            </w:r>
            <w:r w:rsidR="007C10D6">
              <w:rPr>
                <w:color w:val="333333"/>
                <w:lang w:val="ru-RU"/>
              </w:rPr>
              <w:t>просрочек</w:t>
            </w:r>
            <w:r w:rsidR="00E44FA9">
              <w:rPr>
                <w:color w:val="333333"/>
                <w:lang w:val="ru-RU"/>
              </w:rPr>
              <w:t xml:space="preserve">, </w:t>
            </w:r>
            <w:r w:rsidR="007C10D6">
              <w:rPr>
                <w:color w:val="333333"/>
                <w:lang w:val="ru-RU"/>
              </w:rPr>
              <w:t>история погашений</w:t>
            </w:r>
          </w:p>
        </w:tc>
        <w:tc>
          <w:tcPr>
            <w:tcW w:w="3568" w:type="dxa"/>
          </w:tcPr>
          <w:p w:rsidR="004A0656" w:rsidRPr="00E44FA9" w:rsidRDefault="00E44FA9" w:rsidP="00E44FA9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 w:rsidRPr="007C10D6">
              <w:rPr>
                <w:b/>
                <w:bCs/>
                <w:color w:val="333333"/>
                <w:lang w:val="ru-RU"/>
              </w:rPr>
              <w:t>Оплата за аренду жилья</w:t>
            </w:r>
            <w:r>
              <w:rPr>
                <w:color w:val="333333"/>
                <w:lang w:val="ru-RU"/>
              </w:rPr>
              <w:t>: регулярность и своевременность оплат</w:t>
            </w:r>
          </w:p>
        </w:tc>
      </w:tr>
      <w:tr w:rsidR="004A0656" w:rsidTr="004A0656">
        <w:trPr>
          <w:jc w:val="center"/>
        </w:trPr>
        <w:tc>
          <w:tcPr>
            <w:tcW w:w="3006" w:type="dxa"/>
          </w:tcPr>
          <w:p w:rsidR="004A0656" w:rsidRPr="00E61AA3" w:rsidRDefault="007C10D6" w:rsidP="00E44FA9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 w:rsidRPr="007C10D6">
              <w:rPr>
                <w:b/>
                <w:bCs/>
                <w:color w:val="333333"/>
                <w:lang w:val="ru-RU"/>
              </w:rPr>
              <w:t>Доход и занятость:</w:t>
            </w:r>
            <w:r>
              <w:rPr>
                <w:color w:val="333333"/>
                <w:lang w:val="ru-RU"/>
              </w:rPr>
              <w:t xml:space="preserve"> у</w:t>
            </w:r>
            <w:r w:rsidR="00E44FA9">
              <w:rPr>
                <w:color w:val="333333"/>
                <w:lang w:val="ru-RU"/>
              </w:rPr>
              <w:t>ровень дохода и стаж</w:t>
            </w:r>
            <w:r w:rsidRPr="007C10D6">
              <w:rPr>
                <w:color w:val="333333"/>
                <w:lang w:val="ru-RU"/>
              </w:rPr>
              <w:t>/</w:t>
            </w:r>
            <w:r>
              <w:rPr>
                <w:color w:val="333333"/>
                <w:lang w:val="ru-RU"/>
              </w:rPr>
              <w:t>стабильность</w:t>
            </w:r>
            <w:r w:rsidR="00E44FA9">
              <w:rPr>
                <w:color w:val="333333"/>
                <w:lang w:val="ru-RU"/>
              </w:rPr>
              <w:t xml:space="preserve"> </w:t>
            </w:r>
            <w:r>
              <w:rPr>
                <w:color w:val="333333"/>
                <w:lang w:val="ru-RU"/>
              </w:rPr>
              <w:t>занятости</w:t>
            </w:r>
          </w:p>
        </w:tc>
        <w:tc>
          <w:tcPr>
            <w:tcW w:w="3568" w:type="dxa"/>
          </w:tcPr>
          <w:p w:rsidR="004A0656" w:rsidRPr="00E44FA9" w:rsidRDefault="00E44FA9" w:rsidP="00EF2D5D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 w:rsidRPr="007C10D6">
              <w:rPr>
                <w:b/>
                <w:bCs/>
                <w:color w:val="333333"/>
                <w:lang w:val="ru-RU"/>
              </w:rPr>
              <w:t>Коммунальные платежи</w:t>
            </w:r>
            <w:r>
              <w:rPr>
                <w:color w:val="333333"/>
                <w:lang w:val="ru-RU"/>
              </w:rPr>
              <w:t xml:space="preserve">: </w:t>
            </w:r>
            <w:r>
              <w:rPr>
                <w:color w:val="333333"/>
                <w:lang w:val="ru-RU"/>
              </w:rPr>
              <w:t>регулярность и своевременность оплат</w:t>
            </w:r>
          </w:p>
        </w:tc>
      </w:tr>
      <w:tr w:rsidR="004A0656" w:rsidTr="004A0656">
        <w:trPr>
          <w:jc w:val="center"/>
        </w:trPr>
        <w:tc>
          <w:tcPr>
            <w:tcW w:w="3006" w:type="dxa"/>
          </w:tcPr>
          <w:p w:rsidR="004A0656" w:rsidRPr="007C10D6" w:rsidRDefault="007C10D6" w:rsidP="00E44FA9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>
              <w:rPr>
                <w:rStyle w:val="Strong"/>
              </w:rPr>
              <w:t>Долговая нагрузка:</w:t>
            </w:r>
            <w:r>
              <w:t xml:space="preserve"> наличие действующих обязательств</w:t>
            </w:r>
          </w:p>
        </w:tc>
        <w:tc>
          <w:tcPr>
            <w:tcW w:w="3568" w:type="dxa"/>
          </w:tcPr>
          <w:p w:rsidR="004A0656" w:rsidRPr="00E44FA9" w:rsidRDefault="007C10D6" w:rsidP="00EF2D5D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>
              <w:rPr>
                <w:rStyle w:val="Strong"/>
              </w:rPr>
              <w:t>Безналичные платежи и переводы:</w:t>
            </w:r>
            <w:r>
              <w:t xml:space="preserve"> операции в электронных кошельках/мобильных платежных сервисах</w:t>
            </w:r>
          </w:p>
        </w:tc>
      </w:tr>
      <w:tr w:rsidR="004A0656" w:rsidTr="004A0656">
        <w:trPr>
          <w:jc w:val="center"/>
        </w:trPr>
        <w:tc>
          <w:tcPr>
            <w:tcW w:w="3006" w:type="dxa"/>
          </w:tcPr>
          <w:p w:rsidR="004A0656" w:rsidRPr="00E44FA9" w:rsidRDefault="00E44FA9" w:rsidP="00E44FA9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 w:rsidRPr="007C10D6">
              <w:rPr>
                <w:b/>
                <w:bCs/>
                <w:color w:val="333333"/>
                <w:lang w:val="ru-RU"/>
              </w:rPr>
              <w:lastRenderedPageBreak/>
              <w:t>Социально-демографические признаки:</w:t>
            </w:r>
            <w:r>
              <w:rPr>
                <w:color w:val="333333"/>
                <w:lang w:val="ru-RU"/>
              </w:rPr>
              <w:t xml:space="preserve"> пол, возраст, регион, семейное положение</w:t>
            </w:r>
          </w:p>
        </w:tc>
        <w:tc>
          <w:tcPr>
            <w:tcW w:w="3568" w:type="dxa"/>
          </w:tcPr>
          <w:p w:rsidR="004A0656" w:rsidRDefault="007C10D6" w:rsidP="00EF2D5D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Телеком-данные (редко): пополнение, использование мобильного интернета</w:t>
            </w:r>
          </w:p>
          <w:p w:rsidR="007C10D6" w:rsidRPr="007C10D6" w:rsidRDefault="007C10D6" w:rsidP="00EF2D5D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</w:p>
        </w:tc>
      </w:tr>
      <w:tr w:rsidR="007C10D6" w:rsidTr="004A0656">
        <w:trPr>
          <w:jc w:val="center"/>
        </w:trPr>
        <w:tc>
          <w:tcPr>
            <w:tcW w:w="3006" w:type="dxa"/>
          </w:tcPr>
          <w:p w:rsidR="007C10D6" w:rsidRDefault="00082E04" w:rsidP="00E44FA9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 w:rsidRPr="00082E04">
              <w:rPr>
                <w:b/>
                <w:bCs/>
                <w:color w:val="333333"/>
                <w:lang w:val="ru-RU"/>
              </w:rPr>
              <w:t>Параметры кредита:</w:t>
            </w:r>
            <w:r>
              <w:rPr>
                <w:color w:val="333333"/>
                <w:lang w:val="ru-RU"/>
              </w:rPr>
              <w:t xml:space="preserve"> сумма кредита, срок, размер ежемесячного платежа</w:t>
            </w:r>
          </w:p>
        </w:tc>
        <w:tc>
          <w:tcPr>
            <w:tcW w:w="3568" w:type="dxa"/>
          </w:tcPr>
          <w:p w:rsidR="007C10D6" w:rsidRDefault="007C10D6" w:rsidP="00EF2D5D">
            <w:pPr>
              <w:pStyle w:val="NormalWeb"/>
              <w:spacing w:before="180" w:beforeAutospacing="0" w:after="0" w:afterAutospacing="0"/>
              <w:jc w:val="both"/>
              <w:rPr>
                <w:color w:val="333333"/>
                <w:lang w:val="ru-RU"/>
              </w:rPr>
            </w:pPr>
            <w:r w:rsidRPr="007C10D6">
              <w:rPr>
                <w:b/>
                <w:bCs/>
                <w:color w:val="333333"/>
                <w:lang w:val="ru-RU"/>
              </w:rPr>
              <w:t>Цифровые следы (ограничения с этикой и приватностью):</w:t>
            </w:r>
            <w:r>
              <w:rPr>
                <w:color w:val="333333"/>
                <w:lang w:val="ru-RU"/>
              </w:rPr>
              <w:t xml:space="preserve"> социальные сети</w:t>
            </w:r>
          </w:p>
        </w:tc>
      </w:tr>
    </w:tbl>
    <w:p w:rsidR="00BE5347" w:rsidRDefault="00BE5347" w:rsidP="00BE5347"/>
    <w:p w:rsidR="00082E04" w:rsidRDefault="00082E04" w:rsidP="00082E04">
      <w:pPr>
        <w:pStyle w:val="NormalWeb"/>
        <w:shd w:val="clear" w:color="auto" w:fill="FFFFFF"/>
        <w:spacing w:before="180" w:beforeAutospacing="0" w:after="0" w:afterAutospacing="0"/>
        <w:jc w:val="center"/>
        <w:rPr>
          <w:b/>
          <w:bCs/>
          <w:color w:val="333333"/>
          <w:lang w:val="ru-RU"/>
        </w:rPr>
      </w:pPr>
      <w:r w:rsidRPr="00082E04">
        <w:rPr>
          <w:b/>
          <w:bCs/>
          <w:color w:val="333333"/>
          <w:lang w:val="ru-RU"/>
        </w:rPr>
        <w:t xml:space="preserve">Результат 4: </w:t>
      </w:r>
      <w:r w:rsidR="008A3196">
        <w:rPr>
          <w:b/>
          <w:bCs/>
          <w:color w:val="333333"/>
          <w:lang w:val="ru-RU"/>
        </w:rPr>
        <w:t xml:space="preserve">Сопоставление традиционного и современного подходов к оценке платежеспособности </w:t>
      </w:r>
      <w:proofErr w:type="spellStart"/>
      <w:r w:rsidR="008A3196">
        <w:rPr>
          <w:b/>
          <w:bCs/>
          <w:color w:val="333333"/>
          <w:lang w:val="ru-RU"/>
        </w:rPr>
        <w:t>заемщика</w:t>
      </w:r>
      <w:proofErr w:type="spellEnd"/>
      <w:r w:rsidR="008A3196">
        <w:rPr>
          <w:b/>
          <w:bCs/>
          <w:color w:val="333333"/>
          <w:lang w:val="ru-RU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779"/>
        <w:gridCol w:w="2403"/>
        <w:gridCol w:w="2605"/>
        <w:gridCol w:w="1706"/>
      </w:tblGrid>
      <w:tr w:rsidR="002F3AB6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Критерий сравнения</w:t>
            </w:r>
          </w:p>
        </w:tc>
        <w:tc>
          <w:tcPr>
            <w:tcW w:w="2403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Традиционные модели</w:t>
            </w:r>
          </w:p>
        </w:tc>
        <w:tc>
          <w:tcPr>
            <w:tcW w:w="2605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Современные модели</w:t>
            </w:r>
          </w:p>
        </w:tc>
        <w:tc>
          <w:tcPr>
            <w:tcW w:w="1706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Источники</w:t>
            </w:r>
          </w:p>
        </w:tc>
      </w:tr>
      <w:tr w:rsidR="002F3AB6" w:rsidRPr="002F3AB6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Тип моделей</w:t>
            </w:r>
          </w:p>
        </w:tc>
        <w:tc>
          <w:tcPr>
            <w:tcW w:w="2403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Логистическая регрессия, деревья решений</w:t>
            </w:r>
          </w:p>
        </w:tc>
        <w:tc>
          <w:tcPr>
            <w:tcW w:w="2605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 xml:space="preserve">Случайный лес, градиентный </w:t>
            </w:r>
            <w:proofErr w:type="spellStart"/>
            <w:r>
              <w:rPr>
                <w:color w:val="333333"/>
                <w:lang w:val="ru-RU"/>
              </w:rPr>
              <w:t>бустинг</w:t>
            </w:r>
            <w:proofErr w:type="spellEnd"/>
            <w:r>
              <w:rPr>
                <w:color w:val="333333"/>
                <w:lang w:val="ru-RU"/>
              </w:rPr>
              <w:t>, нейронные сети</w:t>
            </w:r>
          </w:p>
        </w:tc>
        <w:tc>
          <w:tcPr>
            <w:tcW w:w="1706" w:type="dxa"/>
          </w:tcPr>
          <w:p w:rsidR="002F3AB6" w:rsidRPr="002F3AB6" w:rsidRDefault="00B609DE" w:rsidP="002F3AB6">
            <w:pPr>
              <w:jc w:val="both"/>
              <w:rPr>
                <w:lang w:val="en-US"/>
              </w:rPr>
            </w:pPr>
            <w:r>
              <w:t>Vakrani D.S. и соавт. (2026); Addy W.A. и соавт. (2024)</w:t>
            </w:r>
          </w:p>
        </w:tc>
      </w:tr>
      <w:tr w:rsidR="002F3AB6" w:rsidRPr="00B609DE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Данные для оценки</w:t>
            </w:r>
          </w:p>
        </w:tc>
        <w:tc>
          <w:tcPr>
            <w:tcW w:w="2403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Традиционные: кредитная история, доход, занятость и т.д.</w:t>
            </w:r>
          </w:p>
        </w:tc>
        <w:tc>
          <w:tcPr>
            <w:tcW w:w="2605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Традиционные и альтернативные: аренда, коммунальные платежи, мобильные транзакции и т.д.</w:t>
            </w:r>
          </w:p>
        </w:tc>
        <w:tc>
          <w:tcPr>
            <w:tcW w:w="1706" w:type="dxa"/>
          </w:tcPr>
          <w:p w:rsidR="002F3AB6" w:rsidRPr="00B609DE" w:rsidRDefault="00B609DE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en-US"/>
              </w:rPr>
            </w:pPr>
            <w:r>
              <w:t>Vakrani D.S. и соавт. (2026); Kothandapani P., Hariharan H. (2022); Nuka T.F., Ogunola A.A. (2024)</w:t>
            </w:r>
          </w:p>
        </w:tc>
      </w:tr>
      <w:tr w:rsidR="002F3AB6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Охват клиентов</w:t>
            </w:r>
          </w:p>
        </w:tc>
        <w:tc>
          <w:tcPr>
            <w:tcW w:w="2403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Клиенты с емкой кредитной историей. С тонкой или отсутствующей историей хуже оценивает</w:t>
            </w:r>
          </w:p>
        </w:tc>
        <w:tc>
          <w:tcPr>
            <w:tcW w:w="2605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Наиболее инклюзивны за счет альтернативных данных и моделей, которые могут выявлять сложные закономерности</w:t>
            </w:r>
          </w:p>
        </w:tc>
        <w:tc>
          <w:tcPr>
            <w:tcW w:w="1706" w:type="dxa"/>
          </w:tcPr>
          <w:p w:rsidR="002F3AB6" w:rsidRDefault="00B609DE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t>Kothandapani P., Hariharan H. (2022); Nuka T.F., Ogunola A.A. (2024); Addy W.A. и соавт. (2024)</w:t>
            </w:r>
          </w:p>
        </w:tc>
      </w:tr>
      <w:tr w:rsidR="002F3AB6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Адаптивность</w:t>
            </w:r>
          </w:p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</w:p>
        </w:tc>
        <w:tc>
          <w:tcPr>
            <w:tcW w:w="2403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Статичны, хуже подстраиваются под изменения</w:t>
            </w:r>
          </w:p>
        </w:tc>
        <w:tc>
          <w:tcPr>
            <w:tcW w:w="2605" w:type="dxa"/>
          </w:tcPr>
          <w:p w:rsidR="002F3AB6" w:rsidRPr="001F71C1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Динамичны, подстраиваются под обновление данных</w:t>
            </w:r>
          </w:p>
        </w:tc>
        <w:tc>
          <w:tcPr>
            <w:tcW w:w="1706" w:type="dxa"/>
          </w:tcPr>
          <w:p w:rsidR="002F3AB6" w:rsidRDefault="0077604D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t>Addy W.A. и соавт. (2024); Vakrani D.S. и соавт. (2026)</w:t>
            </w:r>
          </w:p>
        </w:tc>
      </w:tr>
      <w:tr w:rsidR="002F3AB6" w:rsidRPr="0077604D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Интерпретируемость</w:t>
            </w:r>
          </w:p>
        </w:tc>
        <w:tc>
          <w:tcPr>
            <w:tcW w:w="2403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Проще объяснить решение</w:t>
            </w:r>
          </w:p>
        </w:tc>
        <w:tc>
          <w:tcPr>
            <w:tcW w:w="2605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 xml:space="preserve">Проблема «черного ящика», т.е. возникают </w:t>
            </w:r>
            <w:r>
              <w:rPr>
                <w:color w:val="333333"/>
                <w:lang w:val="ru-RU"/>
              </w:rPr>
              <w:lastRenderedPageBreak/>
              <w:t>сложности при интерпретации</w:t>
            </w:r>
          </w:p>
        </w:tc>
        <w:tc>
          <w:tcPr>
            <w:tcW w:w="1706" w:type="dxa"/>
          </w:tcPr>
          <w:p w:rsidR="002F3AB6" w:rsidRPr="0077604D" w:rsidRDefault="0077604D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en-US"/>
              </w:rPr>
            </w:pPr>
            <w:r>
              <w:lastRenderedPageBreak/>
              <w:t xml:space="preserve">Vakrani D.S. и соавт. (2026); Nuka T.F., </w:t>
            </w:r>
            <w:r>
              <w:lastRenderedPageBreak/>
              <w:t>Ogunola A.A. (2024)</w:t>
            </w:r>
          </w:p>
        </w:tc>
      </w:tr>
      <w:tr w:rsidR="002F3AB6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lastRenderedPageBreak/>
              <w:t>Устойчивость при стресс-тестировании</w:t>
            </w:r>
          </w:p>
        </w:tc>
        <w:tc>
          <w:tcPr>
            <w:tcW w:w="2403" w:type="dxa"/>
          </w:tcPr>
          <w:p w:rsidR="002F3AB6" w:rsidRPr="002F3AB6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 xml:space="preserve">Точность логистической регрессии снизилось с 0.76 до 0.68. Метрика </w:t>
            </w:r>
            <w:r>
              <w:rPr>
                <w:color w:val="333333"/>
                <w:lang w:val="en-US"/>
              </w:rPr>
              <w:t>ROC</w:t>
            </w:r>
            <w:r w:rsidRPr="002F3AB6">
              <w:rPr>
                <w:color w:val="333333"/>
                <w:lang w:val="ru-RU"/>
              </w:rPr>
              <w:t>-</w:t>
            </w:r>
            <w:r>
              <w:rPr>
                <w:color w:val="333333"/>
                <w:lang w:val="en-US"/>
              </w:rPr>
              <w:t>AUC</w:t>
            </w:r>
            <w:r w:rsidRPr="002F3AB6">
              <w:rPr>
                <w:color w:val="333333"/>
                <w:lang w:val="ru-RU"/>
              </w:rPr>
              <w:t xml:space="preserve"> </w:t>
            </w:r>
            <w:r>
              <w:rPr>
                <w:color w:val="333333"/>
                <w:lang w:val="ru-RU"/>
              </w:rPr>
              <w:t>с 0.76 до 0.68</w:t>
            </w:r>
          </w:p>
        </w:tc>
        <w:tc>
          <w:tcPr>
            <w:tcW w:w="2605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 xml:space="preserve">Точность остается наиболее стабильной. </w:t>
            </w:r>
            <w:r>
              <w:rPr>
                <w:color w:val="333333"/>
                <w:lang w:val="ru-RU"/>
              </w:rPr>
              <w:t xml:space="preserve">Метрика </w:t>
            </w:r>
            <w:r>
              <w:rPr>
                <w:color w:val="333333"/>
                <w:lang w:val="en-US"/>
              </w:rPr>
              <w:t>ROC</w:t>
            </w:r>
            <w:r w:rsidRPr="002F3AB6">
              <w:rPr>
                <w:color w:val="333333"/>
                <w:lang w:val="ru-RU"/>
              </w:rPr>
              <w:t>-</w:t>
            </w:r>
            <w:r>
              <w:rPr>
                <w:color w:val="333333"/>
                <w:lang w:val="en-US"/>
              </w:rPr>
              <w:t>AUC</w:t>
            </w:r>
            <w:r w:rsidRPr="002F3AB6">
              <w:rPr>
                <w:color w:val="333333"/>
                <w:lang w:val="ru-RU"/>
              </w:rPr>
              <w:t xml:space="preserve"> </w:t>
            </w:r>
            <w:r>
              <w:rPr>
                <w:color w:val="333333"/>
                <w:lang w:val="ru-RU"/>
              </w:rPr>
              <w:t>с 0.</w:t>
            </w:r>
            <w:r>
              <w:rPr>
                <w:color w:val="333333"/>
                <w:lang w:val="ru-RU"/>
              </w:rPr>
              <w:t>89</w:t>
            </w:r>
            <w:r>
              <w:rPr>
                <w:color w:val="333333"/>
                <w:lang w:val="ru-RU"/>
              </w:rPr>
              <w:t xml:space="preserve"> до 0.</w:t>
            </w:r>
            <w:r>
              <w:rPr>
                <w:color w:val="333333"/>
                <w:lang w:val="ru-RU"/>
              </w:rPr>
              <w:t>83.</w:t>
            </w:r>
          </w:p>
        </w:tc>
        <w:tc>
          <w:tcPr>
            <w:tcW w:w="1706" w:type="dxa"/>
          </w:tcPr>
          <w:p w:rsidR="0077604D" w:rsidRDefault="0077604D" w:rsidP="0077604D"/>
          <w:p w:rsidR="0077604D" w:rsidRPr="0077604D" w:rsidRDefault="0077604D" w:rsidP="0077604D">
            <w:pPr>
              <w:rPr>
                <w:lang w:val="ru-RU"/>
              </w:rPr>
            </w:pPr>
            <w:r>
              <w:t>Vakrani D.S. и соавт. (2026)</w:t>
            </w:r>
          </w:p>
        </w:tc>
      </w:tr>
      <w:tr w:rsidR="002F3AB6" w:rsidTr="00B609DE">
        <w:tc>
          <w:tcPr>
            <w:tcW w:w="2779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b/>
                <w:bCs/>
                <w:color w:val="333333"/>
                <w:lang w:val="ru-RU"/>
              </w:rPr>
            </w:pPr>
            <w:r>
              <w:rPr>
                <w:b/>
                <w:bCs/>
                <w:color w:val="333333"/>
                <w:lang w:val="ru-RU"/>
              </w:rPr>
              <w:t>Ограничения</w:t>
            </w:r>
          </w:p>
        </w:tc>
        <w:tc>
          <w:tcPr>
            <w:tcW w:w="2403" w:type="dxa"/>
          </w:tcPr>
          <w:p w:rsidR="002F3AB6" w:rsidRPr="002F3AB6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Недостаточно данных для оценки дефолта новых клиентов, слабо выявляют нелинейные связи</w:t>
            </w:r>
          </w:p>
        </w:tc>
        <w:tc>
          <w:tcPr>
            <w:tcW w:w="2605" w:type="dxa"/>
          </w:tcPr>
          <w:p w:rsidR="002F3AB6" w:rsidRDefault="002F3AB6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rPr>
                <w:color w:val="333333"/>
                <w:lang w:val="ru-RU"/>
              </w:rPr>
              <w:t>Требования к высокой обеспеченности конфиденциальных данных, необходимость регулярного мониторинга моделей</w:t>
            </w:r>
          </w:p>
        </w:tc>
        <w:tc>
          <w:tcPr>
            <w:tcW w:w="1706" w:type="dxa"/>
          </w:tcPr>
          <w:p w:rsidR="002F3AB6" w:rsidRDefault="0077604D" w:rsidP="001F71C1">
            <w:pPr>
              <w:pStyle w:val="NormalWeb"/>
              <w:spacing w:before="180" w:beforeAutospacing="0" w:after="0" w:afterAutospacing="0"/>
              <w:rPr>
                <w:color w:val="333333"/>
                <w:lang w:val="ru-RU"/>
              </w:rPr>
            </w:pPr>
            <w:r>
              <w:t>Nuka T.F., Ogunola A.A. (2024); Addy W.A. и соавт. (2024)</w:t>
            </w:r>
          </w:p>
        </w:tc>
      </w:tr>
    </w:tbl>
    <w:p w:rsidR="001F71C1" w:rsidRPr="001F71C1" w:rsidRDefault="001F71C1" w:rsidP="00002E97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333333"/>
          <w:lang w:val="ru-RU"/>
        </w:rPr>
      </w:pPr>
    </w:p>
    <w:p w:rsidR="00002E97" w:rsidRDefault="00002E97" w:rsidP="00002E97">
      <w:pPr>
        <w:pStyle w:val="NormalWeb"/>
        <w:spacing w:before="0" w:beforeAutospacing="0" w:after="0" w:afterAutospacing="0"/>
        <w:ind w:firstLine="720"/>
        <w:jc w:val="both"/>
      </w:pPr>
      <w:r>
        <w:rPr>
          <w:color w:val="222222"/>
          <w:shd w:val="clear" w:color="auto" w:fill="FFFFFF"/>
        </w:rPr>
        <w:t xml:space="preserve">В исследовании </w:t>
      </w:r>
      <w:r>
        <w:rPr>
          <w:b/>
          <w:bCs/>
          <w:color w:val="222222"/>
          <w:shd w:val="clear" w:color="auto" w:fill="FFFFFF"/>
        </w:rPr>
        <w:t xml:space="preserve">Vakrani D.S. </w:t>
      </w:r>
      <w:r>
        <w:rPr>
          <w:color w:val="222222"/>
          <w:shd w:val="clear" w:color="auto" w:fill="FFFFFF"/>
        </w:rPr>
        <w:t xml:space="preserve">было проведено моделирование макроэкономического стресс-сценария, предполагающего снижение среднего дохода заемщиков на </w:t>
      </w:r>
      <w:r>
        <w:rPr>
          <w:b/>
          <w:bCs/>
          <w:color w:val="222222"/>
          <w:shd w:val="clear" w:color="auto" w:fill="FFFFFF"/>
        </w:rPr>
        <w:t>20%</w:t>
      </w:r>
      <w:r>
        <w:rPr>
          <w:color w:val="222222"/>
          <w:shd w:val="clear" w:color="auto" w:fill="FFFFFF"/>
        </w:rPr>
        <w:t xml:space="preserve"> и рост вероятности дефолта на </w:t>
      </w:r>
      <w:r>
        <w:rPr>
          <w:b/>
          <w:bCs/>
          <w:color w:val="222222"/>
          <w:shd w:val="clear" w:color="auto" w:fill="FFFFFF"/>
        </w:rPr>
        <w:t>15%</w:t>
      </w:r>
      <w:r>
        <w:rPr>
          <w:color w:val="222222"/>
          <w:shd w:val="clear" w:color="auto" w:fill="FFFFFF"/>
        </w:rPr>
        <w:t>.</w:t>
      </w:r>
    </w:p>
    <w:p w:rsidR="00002E97" w:rsidRDefault="00002E97" w:rsidP="00002E97">
      <w:pPr>
        <w:pStyle w:val="NormalWeb"/>
        <w:spacing w:before="0" w:beforeAutospacing="0" w:after="0" w:afterAutospacing="0"/>
        <w:ind w:firstLine="720"/>
        <w:jc w:val="both"/>
      </w:pPr>
      <w:r>
        <w:rPr>
          <w:color w:val="222222"/>
          <w:shd w:val="clear" w:color="auto" w:fill="FFFFFF"/>
        </w:rPr>
        <w:t>Целью анализа было оценить устойчивость традиционных и ИИ-ориентированных моделей в условиях ухудшения макроэкономической среды.</w:t>
      </w:r>
    </w:p>
    <w:p w:rsidR="00002E97" w:rsidRDefault="00002E97" w:rsidP="00002E97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222222"/>
          <w:shd w:val="clear" w:color="auto" w:fill="FFFFFF"/>
        </w:rPr>
        <w:t>Полученные результаты:</w:t>
      </w:r>
    </w:p>
    <w:p w:rsidR="00002E97" w:rsidRDefault="00002E97" w:rsidP="00002E97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222222"/>
          <w:shd w:val="clear" w:color="auto" w:fill="FFFFFF"/>
        </w:rPr>
        <w:t>1. Логистическая регрессия (традиционная модель):</w:t>
      </w:r>
    </w:p>
    <w:p w:rsidR="00002E97" w:rsidRDefault="00002E97" w:rsidP="00002E97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  <w:shd w:val="clear" w:color="auto" w:fill="FFFFFF"/>
        </w:rPr>
        <w:t xml:space="preserve">До стресс-сценария: </w:t>
      </w:r>
      <w:r>
        <w:rPr>
          <w:b/>
          <w:bCs/>
          <w:color w:val="222222"/>
          <w:shd w:val="clear" w:color="auto" w:fill="FFFFFF"/>
        </w:rPr>
        <w:t>ROC-AUC = 0,76</w:t>
      </w:r>
    </w:p>
    <w:p w:rsidR="00002E97" w:rsidRDefault="00002E97" w:rsidP="00002E97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  <w:shd w:val="clear" w:color="auto" w:fill="FFFFFF"/>
        </w:rPr>
        <w:t xml:space="preserve">После стресс-сценария: </w:t>
      </w:r>
      <w:r>
        <w:rPr>
          <w:b/>
          <w:bCs/>
          <w:color w:val="222222"/>
          <w:shd w:val="clear" w:color="auto" w:fill="FFFFFF"/>
        </w:rPr>
        <w:t>ROC-AUC = 0,68</w:t>
      </w:r>
    </w:p>
    <w:p w:rsidR="00002E97" w:rsidRDefault="00002E97" w:rsidP="00002E97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  <w:shd w:val="clear" w:color="auto" w:fill="FFFFFF"/>
        </w:rPr>
        <w:t xml:space="preserve">Снижение: </w:t>
      </w:r>
      <w:r>
        <w:rPr>
          <w:b/>
          <w:bCs/>
          <w:color w:val="222222"/>
          <w:shd w:val="clear" w:color="auto" w:fill="FFFFFF"/>
        </w:rPr>
        <w:t>–0,08</w:t>
      </w:r>
    </w:p>
    <w:p w:rsidR="00002E97" w:rsidRDefault="00002E97" w:rsidP="00002E97">
      <w:pPr>
        <w:pStyle w:val="NormalWeb"/>
        <w:spacing w:before="0" w:beforeAutospacing="0" w:after="0" w:afterAutospacing="0"/>
        <w:ind w:firstLine="360"/>
        <w:jc w:val="both"/>
      </w:pPr>
      <w:r>
        <w:rPr>
          <w:color w:val="222222"/>
          <w:shd w:val="clear" w:color="auto" w:fill="FFFFFF"/>
        </w:rPr>
        <w:t>Качество модели заметно ухудшилось, что свидетельствует о более высокой чувствительности к изменению внешних экономических условий.</w:t>
      </w:r>
    </w:p>
    <w:p w:rsidR="00002E97" w:rsidRDefault="00002E97" w:rsidP="00002E97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222222"/>
          <w:shd w:val="clear" w:color="auto" w:fill="FFFFFF"/>
        </w:rPr>
        <w:t>2. XGBoost (ИИ-модель):</w:t>
      </w:r>
    </w:p>
    <w:p w:rsidR="00002E97" w:rsidRDefault="00002E97" w:rsidP="00002E97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  <w:shd w:val="clear" w:color="auto" w:fill="FFFFFF"/>
        </w:rPr>
        <w:t xml:space="preserve">До стресс-сценария: </w:t>
      </w:r>
      <w:r>
        <w:rPr>
          <w:b/>
          <w:bCs/>
          <w:color w:val="222222"/>
          <w:shd w:val="clear" w:color="auto" w:fill="FFFFFF"/>
        </w:rPr>
        <w:t>ROC-AUC = 0,89</w:t>
      </w:r>
    </w:p>
    <w:p w:rsidR="00002E97" w:rsidRDefault="00002E97" w:rsidP="00002E97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  <w:shd w:val="clear" w:color="auto" w:fill="FFFFFF"/>
        </w:rPr>
        <w:t xml:space="preserve">После стресс-сценария: </w:t>
      </w:r>
      <w:r>
        <w:rPr>
          <w:b/>
          <w:bCs/>
          <w:color w:val="222222"/>
          <w:shd w:val="clear" w:color="auto" w:fill="FFFFFF"/>
        </w:rPr>
        <w:t>ROC-AUC = 0,83</w:t>
      </w:r>
    </w:p>
    <w:p w:rsidR="00002E97" w:rsidRDefault="00002E97" w:rsidP="00002E97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  <w:shd w:val="clear" w:color="auto" w:fill="FFFFFF"/>
        </w:rPr>
        <w:t xml:space="preserve">Снижение: </w:t>
      </w:r>
      <w:r>
        <w:rPr>
          <w:b/>
          <w:bCs/>
          <w:color w:val="222222"/>
          <w:shd w:val="clear" w:color="auto" w:fill="FFFFFF"/>
        </w:rPr>
        <w:t>–0,06</w:t>
      </w:r>
    </w:p>
    <w:p w:rsidR="00002E97" w:rsidRDefault="00002E97" w:rsidP="00002E97">
      <w:pPr>
        <w:pStyle w:val="NormalWeb"/>
        <w:spacing w:before="0" w:beforeAutospacing="0" w:after="0" w:afterAutospacing="0"/>
        <w:ind w:firstLine="360"/>
        <w:jc w:val="both"/>
      </w:pPr>
      <w:r>
        <w:rPr>
          <w:color w:val="222222"/>
          <w:shd w:val="clear" w:color="auto" w:fill="FFFFFF"/>
        </w:rPr>
        <w:t>Несмотря на ухудшение макроэкономических условий, модель продемонстрировала более устойчивое качество прогнозирования.</w:t>
      </w:r>
    </w:p>
    <w:p w:rsidR="00002E97" w:rsidRDefault="00002E97" w:rsidP="00002E97"/>
    <w:p w:rsidR="00002E97" w:rsidRDefault="00002E97" w:rsidP="00002E97">
      <w:pPr>
        <w:pStyle w:val="NormalWeb"/>
        <w:spacing w:before="0" w:beforeAutospacing="0"/>
        <w:ind w:firstLine="720"/>
        <w:jc w:val="both"/>
      </w:pPr>
    </w:p>
    <w:p w:rsidR="00082E04" w:rsidRPr="00002E97" w:rsidRDefault="00082E04" w:rsidP="00082E04">
      <w:pPr>
        <w:rPr>
          <w:b/>
          <w:bCs/>
          <w:color w:val="333333"/>
        </w:rPr>
      </w:pPr>
    </w:p>
    <w:p w:rsidR="00A34B60" w:rsidRPr="00082E04" w:rsidRDefault="00A34B60" w:rsidP="00A34B60">
      <w:pPr>
        <w:jc w:val="both"/>
        <w:rPr>
          <w:b/>
          <w:bCs/>
          <w:color w:val="333333"/>
          <w:lang w:val="ru-RU"/>
        </w:rPr>
      </w:pPr>
    </w:p>
    <w:sectPr w:rsidR="00A34B60" w:rsidRPr="00082E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11459"/>
    <w:multiLevelType w:val="multilevel"/>
    <w:tmpl w:val="83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360"/>
    <w:multiLevelType w:val="hybridMultilevel"/>
    <w:tmpl w:val="2C541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07AC3"/>
    <w:multiLevelType w:val="multilevel"/>
    <w:tmpl w:val="970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70001"/>
    <w:multiLevelType w:val="hybridMultilevel"/>
    <w:tmpl w:val="7FA8EE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42642"/>
    <w:multiLevelType w:val="hybridMultilevel"/>
    <w:tmpl w:val="80D4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42369"/>
    <w:multiLevelType w:val="hybridMultilevel"/>
    <w:tmpl w:val="BE6003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B453D"/>
    <w:multiLevelType w:val="hybridMultilevel"/>
    <w:tmpl w:val="2F984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C7C1B"/>
    <w:multiLevelType w:val="hybridMultilevel"/>
    <w:tmpl w:val="51A0F7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14994"/>
    <w:multiLevelType w:val="multilevel"/>
    <w:tmpl w:val="CA6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07D89"/>
    <w:multiLevelType w:val="multilevel"/>
    <w:tmpl w:val="6FB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96020"/>
    <w:multiLevelType w:val="hybridMultilevel"/>
    <w:tmpl w:val="A920CA5C"/>
    <w:lvl w:ilvl="0" w:tplc="0C78C10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7283D"/>
    <w:multiLevelType w:val="hybridMultilevel"/>
    <w:tmpl w:val="15887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FB3C09"/>
    <w:multiLevelType w:val="hybridMultilevel"/>
    <w:tmpl w:val="C7C45F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74F5C"/>
    <w:multiLevelType w:val="multilevel"/>
    <w:tmpl w:val="A73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02DDE"/>
    <w:multiLevelType w:val="multilevel"/>
    <w:tmpl w:val="C31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735E8"/>
    <w:multiLevelType w:val="hybridMultilevel"/>
    <w:tmpl w:val="99386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600B0A"/>
    <w:multiLevelType w:val="hybridMultilevel"/>
    <w:tmpl w:val="65CA8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A2B15"/>
    <w:multiLevelType w:val="hybridMultilevel"/>
    <w:tmpl w:val="5FE418FC"/>
    <w:lvl w:ilvl="0" w:tplc="753623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217455">
    <w:abstractNumId w:val="2"/>
  </w:num>
  <w:num w:numId="2" w16cid:durableId="577521243">
    <w:abstractNumId w:val="5"/>
  </w:num>
  <w:num w:numId="3" w16cid:durableId="709455262">
    <w:abstractNumId w:val="6"/>
  </w:num>
  <w:num w:numId="4" w16cid:durableId="1711421768">
    <w:abstractNumId w:val="15"/>
  </w:num>
  <w:num w:numId="5" w16cid:durableId="925040747">
    <w:abstractNumId w:val="3"/>
  </w:num>
  <w:num w:numId="6" w16cid:durableId="1417022401">
    <w:abstractNumId w:val="7"/>
  </w:num>
  <w:num w:numId="7" w16cid:durableId="772281351">
    <w:abstractNumId w:val="10"/>
  </w:num>
  <w:num w:numId="8" w16cid:durableId="1894534937">
    <w:abstractNumId w:val="16"/>
  </w:num>
  <w:num w:numId="9" w16cid:durableId="2092311150">
    <w:abstractNumId w:val="11"/>
  </w:num>
  <w:num w:numId="10" w16cid:durableId="1169637614">
    <w:abstractNumId w:val="17"/>
  </w:num>
  <w:num w:numId="11" w16cid:durableId="329673850">
    <w:abstractNumId w:val="12"/>
  </w:num>
  <w:num w:numId="12" w16cid:durableId="1689217177">
    <w:abstractNumId w:val="1"/>
  </w:num>
  <w:num w:numId="13" w16cid:durableId="823618485">
    <w:abstractNumId w:val="4"/>
  </w:num>
  <w:num w:numId="14" w16cid:durableId="252205143">
    <w:abstractNumId w:val="9"/>
  </w:num>
  <w:num w:numId="15" w16cid:durableId="1681548189">
    <w:abstractNumId w:val="14"/>
  </w:num>
  <w:num w:numId="16" w16cid:durableId="1385904231">
    <w:abstractNumId w:val="8"/>
  </w:num>
  <w:num w:numId="17" w16cid:durableId="1869638936">
    <w:abstractNumId w:val="13"/>
  </w:num>
  <w:num w:numId="18" w16cid:durableId="27467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99"/>
    <w:rsid w:val="00002E97"/>
    <w:rsid w:val="00057134"/>
    <w:rsid w:val="00082E04"/>
    <w:rsid w:val="001F71C1"/>
    <w:rsid w:val="002F3AB6"/>
    <w:rsid w:val="003B33FF"/>
    <w:rsid w:val="004A0656"/>
    <w:rsid w:val="004C0B2D"/>
    <w:rsid w:val="00514393"/>
    <w:rsid w:val="00557899"/>
    <w:rsid w:val="006660E8"/>
    <w:rsid w:val="00762B1E"/>
    <w:rsid w:val="0077604D"/>
    <w:rsid w:val="007C10D6"/>
    <w:rsid w:val="008A3196"/>
    <w:rsid w:val="00931B58"/>
    <w:rsid w:val="009C7EEE"/>
    <w:rsid w:val="00A34B60"/>
    <w:rsid w:val="00A449B9"/>
    <w:rsid w:val="00A93EF9"/>
    <w:rsid w:val="00B02869"/>
    <w:rsid w:val="00B609DE"/>
    <w:rsid w:val="00BE5347"/>
    <w:rsid w:val="00C64BCD"/>
    <w:rsid w:val="00D64092"/>
    <w:rsid w:val="00E44FA9"/>
    <w:rsid w:val="00E61AA3"/>
    <w:rsid w:val="00EF2D5D"/>
    <w:rsid w:val="00F30520"/>
    <w:rsid w:val="00F632D8"/>
    <w:rsid w:val="00F87C2B"/>
    <w:rsid w:val="00F9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34B427"/>
  <w15:chartTrackingRefBased/>
  <w15:docId w15:val="{B4953202-D8A7-8A48-B1E1-FED9B665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B1E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002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7899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A93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-article-author-listitem">
    <w:name w:val="c-article-author-list__item"/>
    <w:basedOn w:val="Normal"/>
    <w:rsid w:val="004C0B2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4C0B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57134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Strong">
    <w:name w:val="Strong"/>
    <w:basedOn w:val="DefaultParagraphFont"/>
    <w:uiPriority w:val="22"/>
    <w:qFormat/>
    <w:rsid w:val="00F632D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02E9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Асем Касенова</dc:creator>
  <cp:keywords/>
  <dc:description/>
  <cp:lastModifiedBy>Асем Касенова</cp:lastModifiedBy>
  <cp:revision>11</cp:revision>
  <dcterms:created xsi:type="dcterms:W3CDTF">2026-02-26T12:27:00Z</dcterms:created>
  <dcterms:modified xsi:type="dcterms:W3CDTF">2026-02-27T17:28:00Z</dcterms:modified>
</cp:coreProperties>
</file>