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Implementação do Sistema de Análise</w:t>
      </w:r>
    </w:p>
    <w:p>
      <w:pPr>
        <w:pStyle w:val="Heading2"/>
      </w:pPr>
      <w:r>
        <w:t>3.1 Apresentação Geral</w:t>
      </w:r>
    </w:p>
    <w:p>
      <w:pPr>
        <w:spacing w:after="120"/>
      </w:pPr>
      <w:r>
        <w:t>O TrendMart é um sistema de análise de dados em grande escala orientado ao suporte à decisão no domínio do retalho de e-commerce. O seu propósito central é simular, ingerir, transformar e analisar dados provenientes de uma plataforma de comércio eletrónico em funcionamento contínuo, transformando eventos brutos dispersos numa infraestrutura analítica unificada capaz de responder a perguntas de negócio que nenhuma das fontes isoladas conseguiria.</w:t>
      </w:r>
    </w:p>
    <w:p>
      <w:pPr>
        <w:spacing w:after="120"/>
      </w:pPr>
      <w:r>
        <w:t xml:space="preserve">O sistema implementa quatro capacidades principais. A primeira é a </w:t>
      </w:r>
      <w:r>
        <w:rPr>
          <w:b/>
        </w:rPr>
        <w:t>ingestão em tempo quase-real</w:t>
      </w:r>
      <w:r>
        <w:t xml:space="preserve">: eventos de comportamento de utilizadores, transações de compra e avaliações de clientes são captados continuamente por três mecanismos de ingestão paralelos e persistidos numa camada de armazenamento de objetos. A segunda é a </w:t>
      </w:r>
      <w:r>
        <w:rPr>
          <w:b/>
        </w:rPr>
        <w:t>preparação e qualidade de dados</w:t>
      </w:r>
      <w:r>
        <w:t xml:space="preserve">: os dados brutos são transformados em representações limpas, tipadas e semanticamente enriquecidas através de jobs Spark com garantias ACID, numa arquitectura progressiva por camadas. A terceira é a </w:t>
      </w:r>
      <w:r>
        <w:rPr>
          <w:b/>
        </w:rPr>
        <w:t>análise descritiva e exploratória</w:t>
      </w:r>
      <w:r>
        <w:t xml:space="preserve">: vistas analíticas SQL pré-computadas sobre um modelo dimensional em estrela são expostas a um dashboard interativo e a ferramentas externas de BI. A quarta é a </w:t>
      </w:r>
      <w:r>
        <w:rPr>
          <w:b/>
        </w:rPr>
        <w:t>análise preditiva</w:t>
      </w:r>
      <w:r>
        <w:t>: modelos de machine learning treinados sobre os dados históricos produzem previsões de procura por categoria, disponibilizados como tabelas consumíveis pelo dashboard.</w:t>
      </w:r>
    </w:p>
    <w:p>
      <w:pPr>
        <w:spacing w:after="120"/>
      </w:pPr>
      <w:r>
        <w:t xml:space="preserve">Estas capacidades são implementadas por um pipeline de dados contínuo, organizado em camadas progressivas de transformação e executado por cinco equipas com responsabilidades funcionais delimitadas: </w:t>
      </w:r>
      <w:r>
        <w:rPr>
          <w:b/>
        </w:rPr>
        <w:t>data_engineering</w:t>
      </w:r>
      <w:r>
        <w:t xml:space="preserve">, </w:t>
      </w:r>
      <w:r>
        <w:rPr>
          <w:b/>
        </w:rPr>
        <w:t>analytical_engineering</w:t>
      </w:r>
      <w:r>
        <w:t xml:space="preserve">, </w:t>
      </w:r>
      <w:r>
        <w:rPr>
          <w:b/>
        </w:rPr>
        <w:t>machine_learning</w:t>
      </w:r>
      <w:r>
        <w:t xml:space="preserve">, </w:t>
      </w:r>
      <w:r>
        <w:rPr>
          <w:b/>
        </w:rPr>
        <w:t>infrastructure</w:t>
      </w:r>
      <w:r>
        <w:t xml:space="preserve"> e </w:t>
      </w:r>
      <w:r>
        <w:rPr>
          <w:b/>
        </w:rPr>
        <w:t>data_analytics</w:t>
      </w:r>
      <w:r>
        <w:t>. O fluxo de dados e a organização em equipas são detalhados nas secções seguintes.</w:t>
      </w:r>
    </w:p>
    <w:p>
      <w:pPr>
        <w:pStyle w:val="Heading3"/>
      </w:pPr>
      <w:r>
        <w:t>3.1.1 Arquitectura Global</w:t>
      </w:r>
    </w:p>
    <w:p>
      <w:pPr>
        <w:spacing w:after="120"/>
      </w:pPr>
      <w:r>
        <w:t>A arquitectura organiza-se em camadas funcionais com responsabilidades bem delimitadas e interfaces explícitas entre si, conforme representado na figura seguinte.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323232"/>
          <w:sz w:val="17"/>
        </w:rPr>
        <w:t>[Simulador E-commerce]</w:t>
        <w:br/>
        <w:t xml:space="preserve">        │</w:t>
        <w:br/>
        <w:t xml:space="preserve">        ├─► Kafka (clickstream_events)</w:t>
        <w:br/>
        <w:t xml:space="preserve">        ├─► PostgreSQL (simulated_orders)</w:t>
        <w:br/>
        <w:t xml:space="preserve">        └─► MinIO (raw-reviews/)</w:t>
        <w:br/>
        <w:t xml:space="preserve">              │</w:t>
        <w:br/>
        <w:t>[Ingestão Contínua]</w:t>
        <w:br/>
        <w:t xml:space="preserve">              │</w:t>
        <w:br/>
        <w:t xml:space="preserve">        ├─► consumer.py        → bronze/clickstream/</w:t>
        <w:br/>
        <w:t xml:space="preserve">        ├─► cdc_consumer.py    → bronze/orders/</w:t>
        <w:br/>
        <w:t xml:space="preserve">        └─► file_watcher.py    → bronze/reviews/</w:t>
        <w:br/>
        <w:t xml:space="preserve">              │</w:t>
        <w:br/>
        <w:t>[Transformação Silver (Airflow + Spark)]</w:t>
        <w:br/>
        <w:t xml:space="preserve">              │</w:t>
        <w:br/>
        <w:t xml:space="preserve">        ├─► silver_clickstream → lake.silver.clickstream</w:t>
        <w:br/>
        <w:t xml:space="preserve">        ├─► silver_orders      → lake.silver.orders</w:t>
        <w:br/>
        <w:t xml:space="preserve">        └─► silver_reviews     → lake.silver.reviews</w:t>
        <w:br/>
        <w:t xml:space="preserve">              │</w:t>
        <w:br/>
        <w:t>[Transformação Gold (Airflow + Spark)]</w:t>
        <w:br/>
        <w:t xml:space="preserve">              │</w:t>
        <w:br/>
        <w:t xml:space="preserve">        ├─► gold_dimensions  (dim_date, dim_category, dim_geography)</w:t>
        <w:br/>
        <w:t xml:space="preserve">        ├─► gold_sales       → lake.gold.fact_sales</w:t>
        <w:br/>
        <w:t xml:space="preserve">        ├─► gold_clickstream → lake.gold.fact_clickstream</w:t>
        <w:br/>
        <w:t xml:space="preserve">        ├─► gold_reviews     → lake.gold.fact_reviews</w:t>
        <w:br/>
        <w:t xml:space="preserve">        └─► init_views       (6 vistas Trino)</w:t>
        <w:br/>
        <w:t xml:space="preserve">              │</w:t>
        <w:br/>
        <w:t>[Machine Learning (Airflow + Spark MLlib)]</w:t>
        <w:br/>
        <w:t xml:space="preserve">              │</w:t>
        <w:br/>
        <w:t xml:space="preserve">        └─► demand_forecast  → lake.gold.ml_demand_forecast</w:t>
        <w:br/>
        <w:t xml:space="preserve">              │</w:t>
        <w:br/>
        <w:t>[Dashboard (Dash)]</w:t>
        <w:br/>
        <w:t xml:space="preserve">              └─► 6 abas interativas (refresh a cada 5 min)</w:t>
      </w:r>
    </w:p>
    <w:p>
      <w:pPr>
        <w:spacing w:after="120"/>
      </w:pPr>
      <w:r>
        <w:t>O fluxo de dados tem origem num simulador de e-commerce que alimenta três fontes heterogéneas em simultâneo: eventos de clickstream publicados em Kafka, ordens de compra persistidas em PostgreSQL e avaliações depositadas em MinIO. Três consumers de ingestão correm em paralelo e de forma contínua, cada um adaptado ao protocolo da sua fonte, persistindo os dados em bruto na camada Bronze do Data Lake em ficheiros Parquet. Esta camada é imutável — preserva os dados no formato original, sem qualquer transformação de conteúdo, e serve como fonte de verdade histórica do sistema.</w:t>
      </w:r>
    </w:p>
    <w:p>
      <w:pPr>
        <w:spacing w:after="120"/>
      </w:pPr>
      <w:r>
        <w:t>A transformação Silver, orquestrada pelo Airflow com cadência horária, lê os ficheiros Bronze acumulados e produz três tabelas Apache Iceberg limpas, tipadas e deduplicadas. Sobre estas tabelas, a transformação Gold — também orquestrada pelo Airflow na mesma DAG horária — constrói um modelo dimensional em estrela com três dimensões e três tabelas de factos, expondo os resultados através de seis vistas Trino directamente consumíveis pelo dashboard.</w:t>
      </w:r>
    </w:p>
    <w:p>
      <w:pPr>
        <w:spacing w:after="120"/>
      </w:pPr>
      <w:r>
        <w:t>Em paralelo, um pipeline de Machine Learning independente, com cadência diária às 03:00 UTC, treina modelos de previsão de procura sobre as tabelas Gold e publica os resultados como uma nova tabela consumível. O dashboard consulta as vistas Trino e as previsões ML de cinco em cinco minutos, apresentando os resultados em seis abas interativas sem necessidade de transformações no cliente.</w:t>
      </w:r>
    </w:p>
    <w:p>
      <w:pPr>
        <w:spacing w:after="120"/>
      </w:pPr>
      <w:r>
        <w:t>A divisão deste fluxo em equipas com responsabilidades e contratos explícitos é descrita na secção 3.1.2.</w:t>
      </w:r>
    </w:p>
    <w:p>
      <w:pPr>
        <w:pStyle w:val="Heading3"/>
      </w:pPr>
      <w:r>
        <w:t>3.1.2 Equipas, Responsabilidades e Contratos de Interface</w:t>
      </w:r>
    </w:p>
    <w:p>
      <w:pPr>
        <w:spacing w:after="120"/>
      </w:pPr>
      <w:r>
        <w:t>O fluxo de dados descrito na secção anterior é implementado por cinco equipas com âmbitos funcionais estritamente delimitados. Cada equipa tem responsabilidades bem definidas, materializadas num contrato de entrada — o que consome, de quem, com que schema e com que frequência — e num contrato de saída — o que entrega, a quem, com que garantias. Uma equipa não acede a artefactos que não constam do seu contrato de entrada, nem produz artefactos fora do seu contrato de saída: é este mecanismo que torna as partes do sistema operacionalmente independentes e substituíveis sem acoplamento entre áreas.</w:t>
      </w:r>
    </w:p>
    <w:p>
      <w:pPr>
        <w:spacing w:after="120"/>
      </w:pPr>
      <w:r>
        <w:t>O simulador (data_sources) não é uma equipa de dados no sentido técnico — é o componente que substitui a plataforma de e-commerce real, gerando continuamente os dados que alimentam o pipeline. A sua caracterização detalhada encontra-se na secção 3.2.</w:t>
      </w:r>
    </w:p>
    <w:p>
      <w:pPr>
        <w:spacing w:after="120"/>
      </w:pPr>
      <w:r>
        <w:t>A figura seguinte apresenta o mesmo fluxo de dados da secção 3.1.1, agora mapeado sobre as equipas responsáveis por cada fase: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323232"/>
          <w:sz w:val="17"/>
        </w:rPr>
        <w:t>── data_sources ──────────────────────────────────────────────────────</w:t>
        <w:br/>
        <w:t xml:space="preserve">  Simulador E-commerce</w:t>
        <w:br/>
        <w:t xml:space="preserve">        ├─► Kafka (clickstream_events)</w:t>
        <w:br/>
        <w:t xml:space="preserve">        ├─► PostgreSQL (simulated_orders)</w:t>
        <w:br/>
        <w:t xml:space="preserve">        └─► MinIO (raw-reviews/)</w:t>
        <w:br/>
        <w:t xml:space="preserve">              ↓</w:t>
        <w:br/>
        <w:t>── data_engineering ──────────────────────────────────────────────────</w:t>
        <w:br/>
        <w:t xml:space="preserve">  Ingestão Contínua</w:t>
        <w:br/>
        <w:t xml:space="preserve">        ├─► consumer.py        → bronze/clickstream/</w:t>
        <w:br/>
        <w:t xml:space="preserve">        ├─► cdc_consumer.py    → bronze/orders/</w:t>
        <w:br/>
        <w:t xml:space="preserve">        └─► file_watcher.py    → bronze/reviews/</w:t>
        <w:br/>
        <w:t xml:space="preserve">              ↓</w:t>
        <w:br/>
        <w:t xml:space="preserve">  Transformação Silver (Airflow + Spark)</w:t>
        <w:br/>
        <w:t xml:space="preserve">        ├─► silver_clickstream → lake.silver.clickstream</w:t>
        <w:br/>
        <w:t xml:space="preserve">        ├─► silver_orders      → lake.silver.orders</w:t>
        <w:br/>
        <w:t xml:space="preserve">        └─► silver_reviews     → lake.silver.reviews</w:t>
        <w:br/>
        <w:t xml:space="preserve">              ↓</w:t>
        <w:br/>
        <w:t>── analytical_engineering ────────────────────────────────────────────</w:t>
        <w:br/>
        <w:t xml:space="preserve">  Transformação Gold (Airflow + Spark)</w:t>
        <w:br/>
        <w:t xml:space="preserve">        ├─► gold_dimensions  (dim_date, dim_category, dim_geography)</w:t>
        <w:br/>
        <w:t xml:space="preserve">        ├─► gold_sales       → lake.gold.fact_sales</w:t>
        <w:br/>
        <w:t xml:space="preserve">        ├─► gold_clickstream → lake.gold.fact_clickstream</w:t>
        <w:br/>
        <w:t xml:space="preserve">        ├─► gold_reviews     → lake.gold.fact_reviews</w:t>
        <w:br/>
        <w:t xml:space="preserve">        └─► init_views       (6 vistas Trino)</w:t>
        <w:br/>
        <w:t xml:space="preserve">              ↓</w:t>
        <w:br/>
        <w:t>── machine_learning ──────────────────────────────────────────────────</w:t>
        <w:br/>
        <w:t xml:space="preserve">  DAG Diária (Airflow + Spark MLlib)</w:t>
        <w:br/>
        <w:t xml:space="preserve">        └─► demand_forecast  → lake.gold.ml_demand_forecast</w:t>
        <w:br/>
        <w:t xml:space="preserve">              ↓</w:t>
        <w:br/>
        <w:t>── data_analytics ────────────────────────────────────────────────────</w:t>
        <w:br/>
        <w:t xml:space="preserve">  Dashboard (Dash)</w:t>
        <w:br/>
        <w:t xml:space="preserve">        └─► 6 abas interativas (refresh a cada 5 min)</w:t>
        <w:br/>
        <w:br/>
        <w:t>── infrastructure (transversal) ──────────────────────────────────────</w:t>
        <w:br/>
        <w:t xml:space="preserve">  Docker Compose (12 serviços) + Airflow (trendmart_gold_pipeline</w:t>
        <w:br/>
        <w:t xml:space="preserve">  + trendmart_ml_pipeline) — suporta todas as equipas acima</w:t>
      </w:r>
    </w:p>
    <w:p>
      <w:pPr>
        <w:pStyle w:val="Heading4"/>
      </w:pPr>
      <w:r>
        <w:t>Equipa de Engenharia de Dados</w:t>
      </w:r>
    </w:p>
    <w:p>
      <w:pPr>
        <w:spacing w:after="120"/>
      </w:pPr>
      <w:r>
        <w:t>Responsável pela ingestão contínua das três fontes do simulador e pela transformação dos dados brutos em tabelas analíticas limpas, tipadas e deduplicadas. A implementação detalhada encontra-se na secção 3.3.</w:t>
      </w:r>
    </w:p>
    <w:p>
      <w:pPr>
        <w:spacing w:after="120"/>
      </w:pPr>
      <w:r>
        <w:rPr>
          <w:b/>
        </w:rPr>
        <w:t>Contrato de entrada</w:t>
      </w:r>
    </w:p>
    <w:p>
      <w:pPr>
        <w:pStyle w:val="ListBullet"/>
        <w:spacing w:after="40"/>
        <w:ind w:left="283"/>
      </w:pPr>
      <w:r>
        <w:t xml:space="preserve">tópico Kafka </w:t>
      </w:r>
      <w:r>
        <w:rPr>
          <w:rFonts w:ascii="Courier New" w:hAnsi="Courier New"/>
          <w:color w:val="646464"/>
          <w:sz w:val="18"/>
        </w:rPr>
        <w:t>clickstream_events</w:t>
      </w:r>
    </w:p>
    <w:p>
      <w:pPr>
        <w:pStyle w:val="ListBullet"/>
        <w:spacing w:after="40"/>
        <w:ind w:left="283"/>
      </w:pPr>
      <w:r>
        <w:t xml:space="preserve">tópico Kafka </w:t>
      </w:r>
      <w:r>
        <w:rPr>
          <w:rFonts w:ascii="Courier New" w:hAnsi="Courier New"/>
          <w:color w:val="646464"/>
          <w:sz w:val="18"/>
        </w:rPr>
        <w:t>debezium.public.simulated_orders</w:t>
      </w:r>
    </w:p>
    <w:p>
      <w:pPr>
        <w:pStyle w:val="ListBullet"/>
        <w:spacing w:after="40"/>
        <w:ind w:left="283"/>
      </w:pPr>
      <w:r>
        <w:t xml:space="preserve">bucket MinIO </w:t>
      </w:r>
      <w:r>
        <w:rPr>
          <w:rFonts w:ascii="Courier New" w:hAnsi="Courier New"/>
          <w:color w:val="646464"/>
          <w:sz w:val="18"/>
        </w:rPr>
        <w:t>raw-reviews/</w:t>
      </w:r>
    </w:p>
    <w:p>
      <w:pPr>
        <w:spacing w:after="120"/>
      </w:pPr>
      <w:r>
        <w:rPr>
          <w:b/>
        </w:rPr>
        <w:t>Contrato de saída</w:t>
      </w:r>
      <w:r>
        <w:t xml:space="preserve"> — três tabelas Apache Iceberg no catálogo lake, actualizadas com cadência horária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Tabela</w:t>
            </w:r>
          </w:p>
        </w:tc>
        <w:tc>
          <w:tcPr>
            <w:tcW w:type="dxa" w:w="456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Garantias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lake.silver.clickstream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Schema fixo, tipagem forte, sem duplicados por event_id, com os 11 tipos de evento do funil de conversão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lake.silver.orders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Validado, enriquecido com region, sem duplicados por order_id (MERGE INTO ACID)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lake.silver.reviews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Rating extraído de texto livre, sem duplicados por review_id (MERGE INTO ACID)</w:t>
            </w:r>
          </w:p>
        </w:tc>
      </w:tr>
    </w:tbl>
    <w:p/>
    <w:p>
      <w:pPr>
        <w:pStyle w:val="Heading4"/>
      </w:pPr>
      <w:r>
        <w:t>Equipa de Engenharia Analítica</w:t>
      </w:r>
    </w:p>
    <w:p>
      <w:pPr>
        <w:spacing w:after="120"/>
      </w:pPr>
      <w:r>
        <w:t>Responsável pela construção do modelo dimensional Gold e pela exposição dos dados ao dashboard através de vistas SQL Trino. A implementação detalhada encontra-se na secção 3.4.</w:t>
      </w:r>
    </w:p>
    <w:p>
      <w:pPr>
        <w:spacing w:after="120"/>
      </w:pPr>
      <w:r>
        <w:rPr>
          <w:b/>
        </w:rPr>
        <w:t>Contrato de entrada</w:t>
      </w:r>
    </w:p>
    <w:p>
      <w:pPr>
        <w:pStyle w:val="ListBullet"/>
        <w:spacing w:after="40"/>
        <w:ind w:left="283"/>
      </w:pPr>
      <w:r>
        <w:t>lake.silver.clickstream</w:t>
      </w:r>
    </w:p>
    <w:p>
      <w:pPr>
        <w:pStyle w:val="ListBullet"/>
        <w:spacing w:after="40"/>
        <w:ind w:left="283"/>
      </w:pPr>
      <w:r>
        <w:t>lake.silver.orders</w:t>
      </w:r>
    </w:p>
    <w:p>
      <w:pPr>
        <w:pStyle w:val="ListBullet"/>
        <w:spacing w:after="40"/>
        <w:ind w:left="283"/>
      </w:pPr>
      <w:r>
        <w:t>lake.silver.reviews</w:t>
      </w:r>
    </w:p>
    <w:p>
      <w:pPr>
        <w:spacing w:after="120"/>
      </w:pPr>
      <w:r>
        <w:rPr>
          <w:b/>
        </w:rPr>
        <w:t>Contrato de saída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Artefacto</w:t>
            </w:r>
          </w:p>
        </w:tc>
        <w:tc>
          <w:tcPr>
            <w:tcW w:type="dxa" w:w="304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04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Padrão de escrita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/>
            <w:r>
              <w:t>dim_date, dim_category, dim_geography</w:t>
            </w:r>
          </w:p>
        </w:tc>
        <w:tc>
          <w:tcPr>
            <w:tcW w:type="dxa" w:w="3041"/>
          </w:tcPr>
          <w:p>
            <w:pPr>
              <w:spacing w:after="40"/>
            </w:pPr>
            <w:r/>
            <w:r>
              <w:t>Dimensões Iceberg</w:t>
            </w:r>
          </w:p>
        </w:tc>
        <w:tc>
          <w:tcPr>
            <w:tcW w:type="dxa" w:w="3041"/>
          </w:tcPr>
          <w:p>
            <w:pPr>
              <w:spacing w:after="40"/>
            </w:pPr>
            <w:r/>
            <w:r>
              <w:t>createOrReplace a cada run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/>
            <w:r>
              <w:t>fact_sales, fact_clickstream, fact_reviews</w:t>
            </w:r>
          </w:p>
        </w:tc>
        <w:tc>
          <w:tcPr>
            <w:tcW w:type="dxa" w:w="3041"/>
          </w:tcPr>
          <w:p>
            <w:pPr>
              <w:spacing w:after="40"/>
            </w:pPr>
            <w:r/>
            <w:r>
              <w:t>Factos Iceberg</w:t>
            </w:r>
          </w:p>
        </w:tc>
        <w:tc>
          <w:tcPr>
            <w:tcW w:type="dxa" w:w="3041"/>
          </w:tcPr>
          <w:p>
            <w:pPr>
              <w:spacing w:after="40"/>
            </w:pPr>
            <w:r/>
            <w:r>
              <w:t>Append incremental por janela horária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/>
            <w:r>
              <w:t>vw_executive, vw_sales_performance, vw_funnel, vw_reviews, vw_trends, vw_category_trends</w:t>
            </w:r>
          </w:p>
        </w:tc>
        <w:tc>
          <w:tcPr>
            <w:tcW w:type="dxa" w:w="3041"/>
          </w:tcPr>
          <w:p>
            <w:pPr>
              <w:spacing w:after="40"/>
            </w:pPr>
            <w:r/>
            <w:r>
              <w:t>Vistas Trino</w:t>
            </w:r>
          </w:p>
        </w:tc>
        <w:tc>
          <w:tcPr>
            <w:tcW w:type="dxa" w:w="3041"/>
          </w:tcPr>
          <w:p>
            <w:pPr>
              <w:spacing w:after="40"/>
            </w:pPr>
            <w:r/>
            <w:r>
              <w:t>Criadas/substituídas após cada run Gold</w:t>
            </w:r>
          </w:p>
        </w:tc>
      </w:tr>
    </w:tbl>
    <w:p/>
    <w:p>
      <w:pPr>
        <w:pStyle w:val="Heading4"/>
      </w:pPr>
      <w:r>
        <w:t>Equipa de Machine Learning</w:t>
      </w:r>
    </w:p>
    <w:p>
      <w:pPr>
        <w:spacing w:after="120"/>
      </w:pPr>
      <w:r>
        <w:t>Responsável pela camada preditiva — treina modelos sobre os dados históricos Gold e publica previsões de procura por categoria. A implementação detalhada encontra-se no capítulo 5.</w:t>
      </w:r>
    </w:p>
    <w:p>
      <w:pPr>
        <w:spacing w:after="120"/>
      </w:pPr>
      <w:r>
        <w:rPr>
          <w:b/>
        </w:rPr>
        <w:t>Contrato de entrada</w:t>
      </w:r>
    </w:p>
    <w:p>
      <w:pPr>
        <w:pStyle w:val="ListBullet"/>
        <w:spacing w:after="40"/>
        <w:ind w:left="283"/>
      </w:pPr>
      <w:r>
        <w:t>lake.gold.fact_sales</w:t>
      </w:r>
    </w:p>
    <w:p>
      <w:pPr>
        <w:pStyle w:val="ListBullet"/>
        <w:spacing w:after="40"/>
        <w:ind w:left="283"/>
      </w:pPr>
      <w:r>
        <w:t>lake.gold.dim_date</w:t>
      </w:r>
    </w:p>
    <w:p>
      <w:pPr>
        <w:pStyle w:val="ListBullet"/>
        <w:spacing w:after="40"/>
        <w:ind w:left="283"/>
      </w:pPr>
      <w:r>
        <w:t>lake.gold.dim_category</w:t>
      </w:r>
    </w:p>
    <w:p>
      <w:pPr>
        <w:spacing w:after="120"/>
      </w:pPr>
      <w:r>
        <w:rPr>
          <w:b/>
        </w:rPr>
        <w:t>Contrato de saída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Tabela</w:t>
            </w:r>
          </w:p>
        </w:tc>
        <w:tc>
          <w:tcPr>
            <w:tcW w:type="dxa" w:w="304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Conteúdo</w:t>
            </w:r>
          </w:p>
        </w:tc>
        <w:tc>
          <w:tcPr>
            <w:tcW w:type="dxa" w:w="304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Padrão de escrita</w:t>
            </w:r>
          </w:p>
        </w:tc>
      </w:tr>
      <w:tr>
        <w:tc>
          <w:tcPr>
            <w:tcW w:type="dxa" w:w="3041"/>
          </w:tcPr>
          <w:p>
            <w:pPr>
              <w:spacing w:after="40"/>
            </w:pPr>
            <w:r/>
            <w:r>
              <w:t>lake.gold.ml_demand_forecast</w:t>
            </w:r>
          </w:p>
        </w:tc>
        <w:tc>
          <w:tcPr>
            <w:tcW w:type="dxa" w:w="3041"/>
          </w:tcPr>
          <w:p>
            <w:pPr>
              <w:spacing w:after="40"/>
            </w:pPr>
            <w:r/>
            <w:r>
              <w:t>Previsões D+1 a D+7 por categoria, com predicted_orders, model_rmse, model_mae e scored_at</w:t>
            </w:r>
          </w:p>
        </w:tc>
        <w:tc>
          <w:tcPr>
            <w:tcW w:type="dxa" w:w="3041"/>
          </w:tcPr>
          <w:p>
            <w:pPr>
              <w:spacing w:after="40"/>
            </w:pPr>
            <w:r/>
            <w:r>
              <w:t>createOrReplace a cada execução diária</w:t>
            </w:r>
          </w:p>
        </w:tc>
      </w:tr>
    </w:tbl>
    <w:p/>
    <w:p>
      <w:pPr>
        <w:pStyle w:val="Heading4"/>
      </w:pPr>
      <w:r>
        <w:t>Equipa de Engenharia de Infraestrutura</w:t>
      </w:r>
    </w:p>
    <w:p>
      <w:pPr>
        <w:spacing w:after="120"/>
      </w:pPr>
      <w:r>
        <w:t>Responsável pela plataforma de serviços e pela orquestração dos pipelines. Não produz nem transforma dados — garante que todas as outras equipas conseguem operar. A implementação detalhada encontra-se na secção 3.5.</w:t>
      </w:r>
    </w:p>
    <w:p>
      <w:pPr>
        <w:spacing w:after="120"/>
      </w:pPr>
      <w:r>
        <w:rPr>
          <w:b/>
        </w:rPr>
        <w:t>Contrato de entrada</w:t>
      </w:r>
      <w:r>
        <w:t xml:space="preserve"> — requisitos de SLA e schedules comunicados pelas equipas consumidoras</w:t>
      </w:r>
    </w:p>
    <w:p>
      <w:pPr>
        <w:spacing w:after="120"/>
      </w:pPr>
      <w:r>
        <w:rPr>
          <w:b/>
        </w:rPr>
        <w:t>Contrato de saída</w:t>
      </w:r>
      <w:r>
        <w:t xml:space="preserve"> — plataforma operacional com 12 serviços containerizados (Docker Compose) e dois pipelines Airflow agendados: </w:t>
      </w:r>
      <w:r>
        <w:rPr>
          <w:rFonts w:ascii="Courier New" w:hAnsi="Courier New"/>
          <w:color w:val="646464"/>
          <w:sz w:val="18"/>
        </w:rPr>
        <w:t>trendmart_gold_pipeline</w:t>
      </w:r>
      <w:r>
        <w:t xml:space="preserve"> (horário) e </w:t>
      </w:r>
      <w:r>
        <w:rPr>
          <w:rFonts w:ascii="Courier New" w:hAnsi="Courier New"/>
          <w:color w:val="646464"/>
          <w:sz w:val="18"/>
        </w:rPr>
        <w:t>trendmart_ml_pipeline</w:t>
      </w:r>
      <w:r>
        <w:t xml:space="preserve"> (diário, 03:00 UTC)</w:t>
      </w:r>
    </w:p>
    <w:p>
      <w:pPr>
        <w:pStyle w:val="Heading4"/>
      </w:pPr>
      <w:r>
        <w:t>Equipa de Analistas de Dados</w:t>
      </w:r>
    </w:p>
    <w:p>
      <w:pPr>
        <w:spacing w:after="120"/>
      </w:pPr>
      <w:r>
        <w:t>Responsável por transformar os dados analíticos em respostas a perguntas de negócio concretas, através de um dashboard interativo. A implementação detalhada encontra-se no capítulo 4.</w:t>
      </w:r>
    </w:p>
    <w:p>
      <w:pPr>
        <w:spacing w:after="120"/>
      </w:pPr>
      <w:r>
        <w:rPr>
          <w:b/>
        </w:rPr>
        <w:t>Contrato de entrada</w:t>
      </w:r>
      <w:r>
        <w:t xml:space="preserve"> — os seis perfis de utilizador e os 22 requisitos funcionais definidos no capítulo 2</w:t>
      </w:r>
    </w:p>
    <w:p>
      <w:pPr>
        <w:spacing w:after="120"/>
      </w:pPr>
      <w:r>
        <w:rPr>
          <w:b/>
        </w:rPr>
        <w:t>Contrato de saída</w:t>
      </w:r>
      <w:r>
        <w:t xml:space="preserve"> — insights e conclusões accionáveis para suporte à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456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Perguntas de negócio respondidas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Gestor Executivo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Como evoluiu a receita? Quantos clientes únicos compraram? Qual o rating médio?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Analista de Vendas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Quais as categorias e regiões com maior receita? Qual o impacto do frete?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Analista de Marketing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Onde abandona o funil? Que dispositivos dominam? Que categorias são mais exploradas?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Gestor de Customer Experience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Que categorias têm pior satisfação? Como evolui o sentimento ao longo do tempo?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Analista de Tendências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Que categorias crescem? Há anomalias de procura?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Data Scientist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Qual a procura prevista por categoria nos próximos 7 dias?</w:t>
            </w:r>
          </w:p>
        </w:tc>
      </w:tr>
    </w:tbl>
    <w:p/>
    <w:p>
      <w:pPr>
        <w:pStyle w:val="Heading2"/>
      </w:pPr>
      <w:r>
        <w:t>3.2 Fontes de Dados</w:t>
      </w:r>
    </w:p>
    <w:p>
      <w:pPr>
        <w:spacing w:after="120"/>
      </w:pPr>
      <w:r>
        <w:t>Na ausência de uma plataforma de e-commerce em produção, o TrendMart simula o funcionamento de uma loja digital através de um simulador contínuo desenvolvido especificamente para o projeto. O simulador utiliza como referência os dados reais do dataset Olist Brazilian E-Commerce — produtos, clientes, preços e avaliações —, garantindo coerência entre as três fontes geradas: os produtos que surgem no comportamento de navegação são os mesmos que originam compras e avaliações.</w:t>
      </w:r>
    </w:p>
    <w:p>
      <w:pPr>
        <w:spacing w:after="120"/>
      </w:pPr>
      <w:r>
        <w:t xml:space="preserve">A escolha das três fontes foi orientada por três objetivos deliberados. O primeiro foi a </w:t>
      </w:r>
      <w:r>
        <w:rPr>
          <w:b/>
        </w:rPr>
        <w:t>heterogeneidade estrutural</w:t>
      </w:r>
      <w:r>
        <w:t xml:space="preserve">: as fontes diferem intencionalmente em formato e natureza — eventos semi-estruturados, registos transacionais estruturados e texto livre —, tornando impossível uma solução puramente relacional e justificando a adopção de uma arquitectura Data Lake. O segundo foi a </w:t>
      </w:r>
      <w:r>
        <w:rPr>
          <w:b/>
        </w:rPr>
        <w:t>escala</w:t>
      </w:r>
      <w:r>
        <w:t xml:space="preserve">: o clickstream produz dados de forma contínua a alta frequência, representando os padrões de data at scale presentes em plataformas reais. O terceiro foi o </w:t>
      </w:r>
      <w:r>
        <w:rPr>
          <w:b/>
        </w:rPr>
        <w:t>realismo</w:t>
      </w:r>
      <w:r>
        <w:t>: as três fontes replicam os tipos de dados dominantes numa plataforma de e-commerce real — comportamento de navegação, transações de compra e feedback de clientes.</w:t>
      </w:r>
    </w:p>
    <w:p>
      <w:pPr>
        <w:spacing w:after="120"/>
      </w:pPr>
      <w:r>
        <w:t>As três fontes produzidas pelo simulador são resumidas na tabela seguinte: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Fonte</w:t>
            </w:r>
          </w:p>
        </w:tc>
        <w:tc>
          <w:tcPr>
            <w:tcW w:type="dxa" w:w="1824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Formato</w:t>
            </w:r>
          </w:p>
        </w:tc>
        <w:tc>
          <w:tcPr>
            <w:tcW w:type="dxa" w:w="1824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Periodicidade</w:t>
            </w:r>
          </w:p>
        </w:tc>
        <w:tc>
          <w:tcPr>
            <w:tcW w:type="dxa" w:w="1824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Estrutura</w:t>
            </w:r>
          </w:p>
        </w:tc>
        <w:tc>
          <w:tcPr>
            <w:tcW w:type="dxa" w:w="1824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Destino</w:t>
            </w:r>
          </w:p>
        </w:tc>
      </w:tr>
      <w:tr>
        <w:tc>
          <w:tcPr>
            <w:tcW w:type="dxa" w:w="1824"/>
          </w:tcPr>
          <w:p>
            <w:pPr>
              <w:spacing w:after="40"/>
            </w:pPr>
            <w:r/>
            <w:r>
              <w:t>Clickstream de Navegação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JSON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Contínuo (~0,5 sess/s)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Semi-estruturado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Kafka (</w:t>
            </w:r>
            <w:r>
              <w:rPr>
                <w:rFonts w:ascii="Courier New" w:hAnsi="Courier New"/>
                <w:color w:val="646464"/>
                <w:sz w:val="18"/>
              </w:rPr>
              <w:t>clickstream_events</w:t>
            </w:r>
            <w:r>
              <w:t>)</w:t>
            </w:r>
          </w:p>
        </w:tc>
      </w:tr>
      <w:tr>
        <w:tc>
          <w:tcPr>
            <w:tcW w:type="dxa" w:w="1824"/>
          </w:tcPr>
          <w:p>
            <w:pPr>
              <w:spacing w:after="40"/>
            </w:pPr>
            <w:r/>
            <w:r>
              <w:t>Ordens de Compra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JSON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Contínuo (por compra)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Estruturado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PostgreSQL (</w:t>
            </w:r>
            <w:r>
              <w:rPr>
                <w:rFonts w:ascii="Courier New" w:hAnsi="Courier New"/>
                <w:color w:val="646464"/>
                <w:sz w:val="18"/>
              </w:rPr>
              <w:t>simulated_orders</w:t>
            </w:r>
            <w:r>
              <w:t>)</w:t>
            </w:r>
          </w:p>
        </w:tc>
      </w:tr>
      <w:tr>
        <w:tc>
          <w:tcPr>
            <w:tcW w:type="dxa" w:w="1824"/>
          </w:tcPr>
          <w:p>
            <w:pPr>
              <w:spacing w:after="40"/>
            </w:pPr>
            <w:r/>
            <w:r>
              <w:t>Avaliações de Clientes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Texto livre (.txt)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Contínuo (por compra)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Não estruturado</w:t>
            </w:r>
          </w:p>
        </w:tc>
        <w:tc>
          <w:tcPr>
            <w:tcW w:type="dxa" w:w="1824"/>
          </w:tcPr>
          <w:p>
            <w:pPr>
              <w:spacing w:after="40"/>
            </w:pPr>
            <w:r/>
            <w:r>
              <w:t>MinIO (</w:t>
            </w:r>
            <w:r>
              <w:rPr>
                <w:rFonts w:ascii="Courier New" w:hAnsi="Courier New"/>
                <w:color w:val="646464"/>
                <w:sz w:val="18"/>
              </w:rPr>
              <w:t>raw-reviews/</w:t>
            </w:r>
            <w:r>
              <w:t>)</w:t>
            </w:r>
          </w:p>
        </w:tc>
      </w:tr>
    </w:tbl>
    <w:p/>
    <w:p>
      <w:pPr>
        <w:pStyle w:val="Heading3"/>
      </w:pPr>
      <w:r>
        <w:t>3.2.1 Clickstreams de Navegação</w:t>
      </w:r>
    </w:p>
    <w:p>
      <w:pPr>
        <w:spacing w:after="120"/>
      </w:pPr>
      <w:r>
        <w:t xml:space="preserve">O clickstream de navegação regista a sequência de interações realizadas pelos utilizadores durante uma sessão na plataforma. Cada sessão é gerada pelo módulo </w:t>
      </w:r>
      <w:r>
        <w:rPr>
          <w:rFonts w:ascii="Courier New" w:hAnsi="Courier New"/>
          <w:color w:val="646464"/>
          <w:sz w:val="18"/>
        </w:rPr>
        <w:t>session.py</w:t>
      </w:r>
      <w:r>
        <w:t xml:space="preserve"> através da função </w:t>
      </w:r>
      <w:r>
        <w:rPr>
          <w:rFonts w:ascii="Courier New" w:hAnsi="Courier New"/>
          <w:color w:val="646464"/>
          <w:sz w:val="18"/>
        </w:rPr>
        <w:t>simulate_session()</w:t>
      </w:r>
      <w:r>
        <w:t xml:space="preserve">, que modela o percurso completo do utilizador num funil probabilístico e produz a lista ordenada de eventos da sessão. Os eventos são publicados no tópico Kafka </w:t>
      </w:r>
      <w:r>
        <w:rPr>
          <w:rFonts w:ascii="Courier New" w:hAnsi="Courier New"/>
          <w:color w:val="646464"/>
          <w:sz w:val="18"/>
        </w:rPr>
        <w:t>clickstream_events</w:t>
      </w:r>
      <w:r>
        <w:t xml:space="preserve"> usando o </w:t>
      </w:r>
      <w:r>
        <w:rPr>
          <w:rFonts w:ascii="Courier New" w:hAnsi="Courier New"/>
          <w:color w:val="646464"/>
          <w:sz w:val="18"/>
        </w:rPr>
        <w:t>session_id</w:t>
      </w:r>
      <w:r>
        <w:t xml:space="preserve"> como chave de partição, garantindo que todos os eventos de uma sessão ficam na mesma partição e a sua ordem temporal é preservada.</w:t>
      </w:r>
    </w:p>
    <w:p>
      <w:pPr>
        <w:pStyle w:val="Heading4"/>
      </w:pPr>
      <w:r>
        <w:t>Estrutura dos Eventos</w:t>
      </w:r>
    </w:p>
    <w:p>
      <w:pPr>
        <w:spacing w:after="120"/>
      </w:pPr>
      <w:r>
        <w:t>Cada evento segue uma estrutura base comum com os seguintes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56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Descrição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event_id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Identificador único do evento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session_id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Identificador da sessão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user_id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Identificador do utilizador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event_type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Tipo de interação no funil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timestamp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Momento de geração em UTC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device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Tipo de dispositivo (mobile, desktop, tablet)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properties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Objeto JSON com atributos específicos do tipo de evento</w:t>
            </w:r>
          </w:p>
        </w:tc>
      </w:tr>
    </w:tbl>
    <w:p/>
    <w:p>
      <w:pPr>
        <w:spacing w:after="120"/>
      </w:pPr>
      <w:r>
        <w:t xml:space="preserve">O campo </w:t>
      </w:r>
      <w:r>
        <w:rPr>
          <w:rFonts w:ascii="Courier New" w:hAnsi="Courier New"/>
          <w:color w:val="646464"/>
          <w:sz w:val="18"/>
        </w:rPr>
        <w:t>properties</w:t>
      </w:r>
      <w:r>
        <w:t xml:space="preserve"> é semi-estruturado — a sua composição varia consoante o </w:t>
      </w:r>
      <w:r>
        <w:rPr>
          <w:rFonts w:ascii="Courier New" w:hAnsi="Courier New"/>
          <w:color w:val="646464"/>
          <w:sz w:val="18"/>
        </w:rPr>
        <w:t>event_type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event_type</w:t>
            </w:r>
          </w:p>
        </w:tc>
        <w:tc>
          <w:tcPr>
            <w:tcW w:type="dxa" w:w="456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Propriedades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search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query, category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product_view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product_id, category, price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add_to_cart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product_id, price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cart_view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product_id, total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checkout_start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product_id, total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session_end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reason</w:t>
            </w:r>
          </w:p>
        </w:tc>
      </w:tr>
    </w:tbl>
    <w:p/>
    <w:p>
      <w:pPr>
        <w:pStyle w:val="Heading4"/>
      </w:pPr>
      <w:r>
        <w:t>Funil de Conversão</w:t>
      </w:r>
    </w:p>
    <w:p>
      <w:pPr>
        <w:spacing w:after="120"/>
      </w:pPr>
      <w:r>
        <w:t xml:space="preserve">O comportamento do utilizador é modelado por um funil de conversão probabilístico implementado em </w:t>
      </w:r>
      <w:r>
        <w:rPr>
          <w:rFonts w:ascii="Courier New" w:hAnsi="Courier New"/>
          <w:color w:val="646464"/>
          <w:sz w:val="18"/>
        </w:rPr>
        <w:t>session.py</w:t>
      </w:r>
      <w:r>
        <w:t xml:space="preserve">. Cada sessão inicia com </w:t>
      </w:r>
      <w:r>
        <w:rPr>
          <w:rFonts w:ascii="Courier New" w:hAnsi="Courier New"/>
          <w:color w:val="646464"/>
          <w:sz w:val="18"/>
        </w:rPr>
        <w:t>session_start</w:t>
      </w:r>
      <w:r>
        <w:t xml:space="preserve"> e progride através de etapas com probabilidades condicionais fixas: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323232"/>
          <w:sz w:val="17"/>
        </w:rPr>
        <w:t>session_start</w:t>
        <w:br/>
        <w:t xml:space="preserve">    │</w:t>
        <w:br/>
        <w:t xml:space="preserve">    ├─► search (60%)  ─────────────────────────────────────────────────┐</w:t>
        <w:br/>
        <w:t xml:space="preserve">    └─► category_browse (40%) ─────────────────────────────────────────┤</w:t>
        <w:br/>
        <w:t xml:space="preserve">                                                                        │</w:t>
        <w:br/>
        <w:t xml:space="preserve">    ┌───────────────────────────────────────────────────────────────────┘</w:t>
        <w:br/>
        <w:t xml:space="preserve">    │</w:t>
        <w:br/>
        <w:t xml:space="preserve">    ├─► [bounce: session_end(reason=bounce)] ← 30% não avança</w:t>
        <w:br/>
        <w:t xml:space="preserve">    │</w:t>
        <w:br/>
        <w:t xml:space="preserve">    └─► product_view (70%)</w:t>
        <w:br/>
        <w:t xml:space="preserve">            │</w:t>
        <w:br/>
        <w:t xml:space="preserve">            ├─► product_review_read (40%, opcional)</w:t>
        <w:br/>
        <w:t xml:space="preserve">            │</w:t>
        <w:br/>
        <w:t xml:space="preserve">            ├─► [session_end(reason=no_cart)] ← 65% não adiciona ao carrinho</w:t>
        <w:br/>
        <w:t xml:space="preserve">            │</w:t>
        <w:br/>
        <w:t xml:space="preserve">            └─► add_to_cart (35%)</w:t>
        <w:br/>
        <w:t xml:space="preserve">                    │</w:t>
        <w:br/>
        <w:t xml:space="preserve">                    ├─► remove_from_cart + add_to_cart (15%, re-add)</w:t>
        <w:br/>
        <w:t xml:space="preserve">                    │</w:t>
        <w:br/>
        <w:t xml:space="preserve">                    └─► cart_view</w:t>
        <w:br/>
        <w:t xml:space="preserve">                            │</w:t>
        <w:br/>
        <w:t xml:space="preserve">                            ├─► cart_abandon + session_end(reason=cart_abandon) ← 45%</w:t>
        <w:br/>
        <w:t xml:space="preserve">                            │</w:t>
        <w:br/>
        <w:t xml:space="preserve">                            └─► checkout_start (55%)</w:t>
        <w:br/>
        <w:t xml:space="preserve">                                    │</w:t>
        <w:br/>
        <w:t xml:space="preserve">                                    ├─► session_end(reason=checkout_abandon) ← 20%</w:t>
        <w:br/>
        <w:t xml:space="preserve">                                    │</w:t>
        <w:br/>
        <w:t xml:space="preserve">                                    └─► order_placed (80%) → session_end(reason=completed)</w:t>
      </w:r>
    </w:p>
    <w:p>
      <w:pPr>
        <w:spacing w:after="120"/>
      </w:pPr>
      <w:r>
        <w:t>A taxa de conversão global implícita é de aproximadamente 10,8% (0,70 × 0,35 × 0,55 × 0,80), alinhada com benchmarks reais de e-commerce. Cada evento tem um significado analítico distinto:</w:t>
      </w:r>
    </w:p>
    <w:p>
      <w:pPr>
        <w:pStyle w:val="ListBullet"/>
        <w:spacing w:after="40"/>
        <w:ind w:left="283"/>
      </w:pPr>
      <w:r>
        <w:rPr>
          <w:b/>
        </w:rPr>
        <w:t>`session_start`</w:t>
      </w:r>
      <w:r>
        <w:t>: início da sessão; contém o contexto geográfico do utilizador (estado e cidade)</w:t>
      </w:r>
    </w:p>
    <w:p>
      <w:pPr>
        <w:pStyle w:val="ListBullet"/>
        <w:spacing w:after="40"/>
        <w:ind w:left="283"/>
      </w:pPr>
      <w:r>
        <w:rPr>
          <w:b/>
        </w:rPr>
        <w:t>`search`</w:t>
      </w:r>
      <w:r>
        <w:t>: navegação por intenção explícita — o termo de pesquisa é o nome da categoria do produto</w:t>
      </w:r>
    </w:p>
    <w:p>
      <w:pPr>
        <w:pStyle w:val="ListBullet"/>
        <w:spacing w:after="40"/>
        <w:ind w:left="283"/>
      </w:pPr>
      <w:r>
        <w:rPr>
          <w:b/>
        </w:rPr>
        <w:t>`category_browse`</w:t>
      </w:r>
      <w:r>
        <w:t>: navegação por descoberta — o utilizador explora uma categoria sem intenção de pesquisa definida</w:t>
      </w:r>
    </w:p>
    <w:p>
      <w:pPr>
        <w:pStyle w:val="ListBullet"/>
        <w:spacing w:after="40"/>
        <w:ind w:left="283"/>
      </w:pPr>
      <w:r>
        <w:rPr>
          <w:b/>
        </w:rPr>
        <w:t>`product_view`</w:t>
      </w:r>
      <w:r>
        <w:t>: visualização de um produto específico; inclui preço e número de fotografias</w:t>
      </w:r>
    </w:p>
    <w:p>
      <w:pPr>
        <w:pStyle w:val="ListBullet"/>
        <w:spacing w:after="40"/>
        <w:ind w:left="283"/>
      </w:pPr>
      <w:r>
        <w:rPr>
          <w:b/>
        </w:rPr>
        <w:t>`product_review_read`</w:t>
      </w:r>
      <w:r>
        <w:t>: consulta de avaliações de outros compradores antes de decidir (40% dos casos)</w:t>
      </w:r>
    </w:p>
    <w:p>
      <w:pPr>
        <w:pStyle w:val="ListBullet"/>
        <w:spacing w:after="40"/>
        <w:ind w:left="283"/>
      </w:pPr>
      <w:r>
        <w:rPr>
          <w:b/>
        </w:rPr>
        <w:t>`add_to_cart`</w:t>
      </w:r>
      <w:r>
        <w:t>: adição ao carrinho — sinal forte de intenção de compra</w:t>
      </w:r>
    </w:p>
    <w:p>
      <w:pPr>
        <w:pStyle w:val="ListBullet"/>
        <w:spacing w:after="40"/>
        <w:ind w:left="283"/>
      </w:pPr>
      <w:r>
        <w:rPr>
          <w:b/>
        </w:rPr>
        <w:t>`remove_from_cart`</w:t>
      </w:r>
      <w:r>
        <w:t>: remoção do carrinho antes de nova adição — simula hesitação na decisão</w:t>
      </w:r>
    </w:p>
    <w:p>
      <w:pPr>
        <w:pStyle w:val="ListBullet"/>
        <w:spacing w:after="40"/>
        <w:ind w:left="283"/>
      </w:pPr>
      <w:r>
        <w:rPr>
          <w:b/>
        </w:rPr>
        <w:t>`cart_view`</w:t>
      </w:r>
      <w:r>
        <w:t>: visualização do carrinho com o total calculado (produto + frete)</w:t>
      </w:r>
    </w:p>
    <w:p>
      <w:pPr>
        <w:pStyle w:val="ListBullet"/>
        <w:spacing w:after="40"/>
        <w:ind w:left="283"/>
      </w:pPr>
      <w:r>
        <w:rPr>
          <w:b/>
        </w:rPr>
        <w:t>`cart_abandon`</w:t>
      </w:r>
      <w:r>
        <w:t>: abandono do carrinho sem prosseguir para checkout</w:t>
      </w:r>
    </w:p>
    <w:p>
      <w:pPr>
        <w:pStyle w:val="ListBullet"/>
        <w:spacing w:after="40"/>
        <w:ind w:left="283"/>
      </w:pPr>
      <w:r>
        <w:rPr>
          <w:b/>
        </w:rPr>
        <w:t>`checkout_start`</w:t>
      </w:r>
      <w:r>
        <w:t>: início do processo de checkout — intenção de compra muito forte</w:t>
      </w:r>
    </w:p>
    <w:p>
      <w:pPr>
        <w:pStyle w:val="ListBullet"/>
        <w:spacing w:after="40"/>
        <w:ind w:left="283"/>
      </w:pPr>
      <w:r>
        <w:rPr>
          <w:b/>
        </w:rPr>
        <w:t>`session_end`</w:t>
      </w:r>
      <w:r>
        <w:t xml:space="preserve">: encerramento da sessão com campo </w:t>
      </w:r>
      <w:r>
        <w:rPr>
          <w:rFonts w:ascii="Courier New" w:hAnsi="Courier New"/>
          <w:color w:val="646464"/>
          <w:sz w:val="18"/>
        </w:rPr>
        <w:t>reason</w:t>
      </w:r>
      <w:r>
        <w:t xml:space="preserve"> (</w:t>
      </w:r>
      <w:r>
        <w:rPr>
          <w:rFonts w:ascii="Courier New" w:hAnsi="Courier New"/>
          <w:color w:val="646464"/>
          <w:sz w:val="18"/>
        </w:rPr>
        <w:t>bounce</w:t>
      </w:r>
      <w:r>
        <w:t xml:space="preserve">, </w:t>
      </w:r>
      <w:r>
        <w:rPr>
          <w:rFonts w:ascii="Courier New" w:hAnsi="Courier New"/>
          <w:color w:val="646464"/>
          <w:sz w:val="18"/>
        </w:rPr>
        <w:t>no_cart</w:t>
      </w:r>
      <w:r>
        <w:t xml:space="preserve">, </w:t>
      </w:r>
      <w:r>
        <w:rPr>
          <w:rFonts w:ascii="Courier New" w:hAnsi="Courier New"/>
          <w:color w:val="646464"/>
          <w:sz w:val="18"/>
        </w:rPr>
        <w:t>cart_abandon</w:t>
      </w:r>
      <w:r>
        <w:t xml:space="preserve">, </w:t>
      </w:r>
      <w:r>
        <w:rPr>
          <w:rFonts w:ascii="Courier New" w:hAnsi="Courier New"/>
          <w:color w:val="646464"/>
          <w:sz w:val="18"/>
        </w:rPr>
        <w:t>checkout_abandon</w:t>
      </w:r>
      <w:r>
        <w:t xml:space="preserve">, </w:t>
      </w:r>
      <w:r>
        <w:rPr>
          <w:rFonts w:ascii="Courier New" w:hAnsi="Courier New"/>
          <w:color w:val="646464"/>
          <w:sz w:val="18"/>
        </w:rPr>
        <w:t>completed</w:t>
      </w:r>
      <w:r>
        <w:t>)</w:t>
      </w:r>
    </w:p>
    <w:p>
      <w:pPr>
        <w:spacing w:after="120"/>
      </w:pPr>
      <w:r>
        <w:t xml:space="preserve">O evento </w:t>
      </w:r>
      <w:r>
        <w:rPr>
          <w:rFonts w:ascii="Courier New" w:hAnsi="Courier New"/>
          <w:color w:val="646464"/>
          <w:sz w:val="18"/>
        </w:rPr>
        <w:t>order_placed</w:t>
      </w:r>
      <w:r>
        <w:t xml:space="preserve"> não é publicado no Kafka — é encaminhado exclusivamente para o PostgreSQL via </w:t>
      </w:r>
      <w:r>
        <w:rPr>
          <w:rFonts w:ascii="Courier New" w:hAnsi="Courier New"/>
          <w:color w:val="646464"/>
          <w:sz w:val="18"/>
        </w:rPr>
        <w:t>db_writer.py</w:t>
      </w:r>
      <w:r>
        <w:t>.</w:t>
      </w:r>
    </w:p>
    <w:p>
      <w:pPr>
        <w:pStyle w:val="Heading4"/>
      </w:pPr>
      <w:r>
        <w:t>Ruído</w:t>
      </w:r>
    </w:p>
    <w:p>
      <w:pPr>
        <w:spacing w:after="120"/>
      </w:pPr>
      <w:r>
        <w:t xml:space="preserve">O módulo </w:t>
      </w:r>
      <w:r>
        <w:rPr>
          <w:rFonts w:ascii="Courier New" w:hAnsi="Courier New"/>
          <w:color w:val="646464"/>
          <w:sz w:val="18"/>
        </w:rPr>
        <w:t>noise.py</w:t>
      </w:r>
      <w:r>
        <w:t xml:space="preserve"> introduz perturbações controladas nos eventos: ausência de </w:t>
      </w:r>
      <w:r>
        <w:rPr>
          <w:rFonts w:ascii="Courier New" w:hAnsi="Courier New"/>
          <w:color w:val="646464"/>
          <w:sz w:val="18"/>
        </w:rPr>
        <w:t>session_id</w:t>
      </w:r>
      <w:r>
        <w:t xml:space="preserve"> (simulando falhas de rastreamento), valores inválidos no campo </w:t>
      </w:r>
      <w:r>
        <w:rPr>
          <w:rFonts w:ascii="Courier New" w:hAnsi="Courier New"/>
          <w:color w:val="646464"/>
          <w:sz w:val="18"/>
        </w:rPr>
        <w:t>device</w:t>
      </w:r>
      <w:r>
        <w:t xml:space="preserve"> (bots e crawlers) e ausência de </w:t>
      </w:r>
      <w:r>
        <w:rPr>
          <w:rFonts w:ascii="Courier New" w:hAnsi="Courier New"/>
          <w:color w:val="646464"/>
          <w:sz w:val="18"/>
        </w:rPr>
        <w:t>event_type</w:t>
      </w:r>
      <w:r>
        <w:t xml:space="preserve"> (falhas de instrumentação). Estes eventos são filtrados e normalizados na camada Silver.</w:t>
      </w:r>
    </w:p>
    <w:p>
      <w:pPr>
        <w:pStyle w:val="Heading3"/>
      </w:pPr>
      <w:r>
        <w:t>3.2.2 Ordens de Compra</w:t>
      </w:r>
    </w:p>
    <w:p>
      <w:pPr>
        <w:spacing w:after="120"/>
      </w:pPr>
      <w:r>
        <w:t xml:space="preserve">As ordens de compra são geradas pela função </w:t>
      </w:r>
      <w:r>
        <w:rPr>
          <w:rFonts w:ascii="Courier New" w:hAnsi="Courier New"/>
          <w:color w:val="646464"/>
          <w:sz w:val="18"/>
        </w:rPr>
        <w:t>simulate_session()</w:t>
      </w:r>
      <w:r>
        <w:t xml:space="preserve"> em </w:t>
      </w:r>
      <w:r>
        <w:rPr>
          <w:rFonts w:ascii="Courier New" w:hAnsi="Courier New"/>
          <w:color w:val="646464"/>
          <w:sz w:val="18"/>
        </w:rPr>
        <w:t>session.py</w:t>
      </w:r>
      <w:r>
        <w:t xml:space="preserve"> sempre que uma sessão culmina em conversão. O registo é escrito diretamente na tabela </w:t>
      </w:r>
      <w:r>
        <w:rPr>
          <w:rFonts w:ascii="Courier New" w:hAnsi="Courier New"/>
          <w:color w:val="646464"/>
          <w:sz w:val="18"/>
        </w:rPr>
        <w:t>simulated_orders</w:t>
      </w:r>
      <w:r>
        <w:t xml:space="preserve"> do PostgreSQL via </w:t>
      </w:r>
      <w:r>
        <w:rPr>
          <w:rFonts w:ascii="Courier New" w:hAnsi="Courier New"/>
          <w:color w:val="646464"/>
          <w:sz w:val="18"/>
        </w:rPr>
        <w:t>db_writer.py</w:t>
      </w:r>
      <w:r>
        <w:t xml:space="preserve">. Os campos </w:t>
      </w:r>
      <w:r>
        <w:rPr>
          <w:rFonts w:ascii="Courier New" w:hAnsi="Courier New"/>
          <w:color w:val="646464"/>
          <w:sz w:val="18"/>
        </w:rPr>
        <w:t>session_id</w:t>
      </w:r>
      <w:r>
        <w:t xml:space="preserve"> e </w:t>
      </w:r>
      <w:r>
        <w:rPr>
          <w:rFonts w:ascii="Courier New" w:hAnsi="Courier New"/>
          <w:color w:val="646464"/>
          <w:sz w:val="18"/>
        </w:rPr>
        <w:t>order_id</w:t>
      </w:r>
      <w:r>
        <w:t xml:space="preserve"> são comuns às duas fontes, permitindo correlacionar o comportamento de navegação com a transação resultante.</w:t>
      </w:r>
    </w:p>
    <w:p>
      <w:pPr>
        <w:pStyle w:val="Heading4"/>
      </w:pPr>
      <w:r>
        <w:t>Estrutura do Registo</w:t>
      </w:r>
    </w:p>
    <w:p>
      <w:pPr>
        <w:spacing w:after="120"/>
      </w:pPr>
      <w:r>
        <w:t>Cada registo de ordem segue um schema fixo: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561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Descrição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order_id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Identificador único da transação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session_id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Identificador da sessão de navegação associada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customer_id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Identificador do cliente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product_id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Identificador do produto adquirido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seller_id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Identificador do vendedor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category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Categoria do produto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price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Valor do produto no momento da compra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freight_value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Custo de envio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state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Estado do cliente</w:t>
            </w:r>
          </w:p>
        </w:tc>
      </w:tr>
      <w:tr>
        <w:tc>
          <w:tcPr>
            <w:tcW w:type="dxa" w:w="4561"/>
          </w:tcPr>
          <w:p>
            <w:pPr>
              <w:spacing w:after="40"/>
            </w:pPr>
            <w:r/>
            <w:r>
              <w:t>purchase_timestamp</w:t>
            </w:r>
          </w:p>
        </w:tc>
        <w:tc>
          <w:tcPr>
            <w:tcW w:type="dxa" w:w="4561"/>
          </w:tcPr>
          <w:p>
            <w:pPr>
              <w:spacing w:after="40"/>
            </w:pPr>
            <w:r/>
            <w:r>
              <w:t>Momento da transação</w:t>
            </w:r>
          </w:p>
        </w:tc>
      </w:tr>
    </w:tbl>
    <w:p/>
    <w:p>
      <w:pPr>
        <w:pStyle w:val="Heading4"/>
      </w:pPr>
      <w:r>
        <w:t>Ruído</w:t>
      </w:r>
    </w:p>
    <w:p>
      <w:pPr>
        <w:spacing w:after="120"/>
      </w:pPr>
      <w:r>
        <w:t>Cerca de 5% dos registos têm o código de estado mal formatado — variações de capitalização ou caracteres adicionais —, simulando inconsistências típicas em sistemas de entrada de dados. A normalização é feita na camada Silver.</w:t>
      </w:r>
    </w:p>
    <w:p>
      <w:pPr>
        <w:pStyle w:val="Heading3"/>
      </w:pPr>
      <w:r>
        <w:t>3.2.3 Avaliações de Clientes</w:t>
      </w:r>
    </w:p>
    <w:p>
      <w:pPr>
        <w:spacing w:after="120"/>
      </w:pPr>
      <w:r>
        <w:t xml:space="preserve">As avaliações são geradas de forma desacoplada pelo módulo </w:t>
      </w:r>
      <w:r>
        <w:rPr>
          <w:rFonts w:ascii="Courier New" w:hAnsi="Courier New"/>
          <w:color w:val="646464"/>
          <w:sz w:val="18"/>
        </w:rPr>
        <w:t>review_writer.py</w:t>
      </w:r>
      <w:r>
        <w:t xml:space="preserve">, que associa uma review a aproximadamente 40% das ordens concluídas, com um atraso controlado entre 30 e 300 segundos — simulando o tempo real entre compra e receção do produto. Cada avaliação é persistida como ficheiro </w:t>
      </w:r>
      <w:r>
        <w:rPr>
          <w:rFonts w:ascii="Courier New" w:hAnsi="Courier New"/>
          <w:color w:val="646464"/>
          <w:sz w:val="18"/>
        </w:rPr>
        <w:t>.txt</w:t>
      </w:r>
      <w:r>
        <w:t xml:space="preserve"> no bucket MinIO </w:t>
      </w:r>
      <w:r>
        <w:rPr>
          <w:rFonts w:ascii="Courier New" w:hAnsi="Courier New"/>
          <w:color w:val="646464"/>
          <w:sz w:val="18"/>
        </w:rPr>
        <w:t>raw-reviews/</w:t>
      </w:r>
      <w:r>
        <w:t xml:space="preserve">, com o nome </w:t>
      </w:r>
      <w:r>
        <w:rPr>
          <w:rFonts w:ascii="Courier New" w:hAnsi="Courier New"/>
          <w:color w:val="646464"/>
          <w:sz w:val="18"/>
        </w:rPr>
        <w:t>{review_id}_{order_id}.txt</w:t>
      </w:r>
      <w:r>
        <w:t>.</w:t>
      </w:r>
    </w:p>
    <w:p>
      <w:pPr>
        <w:pStyle w:val="Heading4"/>
      </w:pPr>
      <w:r>
        <w:t>Estrutura do Ficheiro</w:t>
      </w:r>
    </w:p>
    <w:p>
      <w:pPr>
        <w:spacing w:after="120"/>
      </w:pPr>
      <w:r>
        <w:t>O conteúdo é texto livre em português, sem campos delimitados — os únicos metadados estruturados estão codificados no nome do ficheiro. O texto termina sempre com a classificação do produto numa de duas formas:</w:t>
      </w:r>
    </w:p>
    <w:p>
      <w:pPr>
        <w:pStyle w:val="ListBullet"/>
        <w:spacing w:after="40"/>
        <w:ind w:left="283"/>
      </w:pPr>
      <w:r>
        <w:rPr>
          <w:i/>
        </w:rPr>
        <w:t>"Dou X estrelas em 5."</w:t>
      </w:r>
    </w:p>
    <w:p>
      <w:pPr>
        <w:pStyle w:val="ListBullet"/>
        <w:spacing w:after="40"/>
        <w:ind w:left="283"/>
      </w:pPr>
      <w:r>
        <w:rPr>
          <w:i/>
        </w:rPr>
        <w:t>"Classifico este produto com X/5."</w:t>
      </w:r>
    </w:p>
    <w:p>
      <w:pPr>
        <w:spacing w:after="120"/>
      </w:pPr>
      <w:r>
        <w:t xml:space="preserve">Este padrão permite a extração do rating por expressão regular na camada Silver. O </w:t>
      </w:r>
      <w:r>
        <w:rPr>
          <w:rFonts w:ascii="Courier New" w:hAnsi="Courier New"/>
          <w:color w:val="646464"/>
          <w:sz w:val="18"/>
        </w:rPr>
        <w:t>raw_content</w:t>
      </w:r>
      <w:r>
        <w:t xml:space="preserve"> completo é preservado no Bronze para processamento posterior.</w:t>
      </w:r>
    </w:p>
    <w:p>
      <w:pPr>
        <w:pStyle w:val="Heading2"/>
      </w:pPr>
      <w:r>
        <w:t>3.3 Área de Preparação de Dados</w:t>
      </w:r>
    </w:p>
    <w:p>
      <w:pPr>
        <w:spacing w:after="120"/>
      </w:pPr>
      <w:r>
        <w:t>A área de preparação de dados é a componente do pipeline responsável por receber dados heterogéneos das três fontes do simulador e os transformar em representações analíticas limpas, tipadas e semanticamente enriquecidas, prontas a alimentar o modelo dimensional Gold.</w:t>
      </w:r>
    </w:p>
    <w:p>
      <w:pPr>
        <w:spacing w:after="120"/>
      </w:pPr>
      <w:r>
        <w:t>A implementação desta área é da responsabilidade da equipa data_engineering. O seu contrato delimita com precisão o que esta área exige: receber dados brutos das três fontes heterogéneas como entrada e entregar, como saída, tabelas Silver com schema fixo, tipagem forte e deduplicação garantida.</w:t>
      </w:r>
    </w:p>
    <w:p>
      <w:pPr>
        <w:pStyle w:val="Heading3"/>
      </w:pPr>
      <w:r>
        <w:t>3.3.1 Justificação da Abordagem</w:t>
      </w:r>
    </w:p>
    <w:p>
      <w:pPr>
        <w:spacing w:after="120"/>
      </w:pPr>
      <w:r>
        <w:t>A área de preparação de dados do projeto é implementada segundo uma arquitectura Data Lakehouse com padrão Medallion (Bronze / Silver / Gold), sobre armazenamento de objetos MinIO. O Data Lakehouse combina as características de um Data Lake — capacidade de receber qualquer dado no seu formato original, sem schema obrigatório na entrada — com as características de um Data Warehouse — garantias ACID, schema enforced e capacidade de consulta SQL analítica. No TrendMart esta divisão manifesta-se de forma explícita por camadas: o Bronze é a componente "lake", onde os dados chegam em bruto e sem transformação; o Silver e o Gold são a componente "house", onde os dados adquirem schema fixo, tipagem forte, garantias transacionais via Apache Iceberg e capacidade de consulta SQL via Trino. As características específicas de cada camada são detalhadas nas secções 3.3.2 e 3.3.3.</w:t>
      </w:r>
    </w:p>
    <w:p>
      <w:pPr>
        <w:spacing w:after="120"/>
      </w:pPr>
      <w:r>
        <w:t>A adopção desta arquitectura decorre da natureza heterogénea das três fontes de dados — eventos JSON num tópico Kafka, eventos CDC com envelope Debezium, e ficheiros de texto com formato não estruturado — que torna impossível a inserção directa num schema relacional fixo sem processamento prévio. Um sistema puramente relacional exigiria schema definido na entrada, incompatível com a variabilidade do envelope CDC e com a estrutura não estruturada dos ficheiros de review. A arquitectura Lakehouse resolve este problema ao aceitar qualquer dado na camada Bronze sem imposição de schema, diferindo essa imposição para a camada Silver, e só então promovendo os dados para o modelo analítico Gold.</w:t>
      </w:r>
    </w:p>
    <w:p>
      <w:pPr>
        <w:spacing w:after="120"/>
      </w:pPr>
      <w:r>
        <w:t>A separação progressiva em camadas traz três vantagens concretas:</w:t>
      </w:r>
    </w:p>
    <w:p>
      <w:pPr>
        <w:spacing w:after="120"/>
      </w:pPr>
      <w:r>
        <w:t xml:space="preserve">1. </w:t>
      </w:r>
      <w:r>
        <w:rPr>
          <w:b/>
        </w:rPr>
        <w:t>Rastreabilidade</w:t>
      </w:r>
      <w:r>
        <w:t xml:space="preserve"> — em caso de erro de transformação, os dados originais estão sempre preservados no Bronze, permitindo reprocessamento sem re-ingestão da fonte.</w:t>
      </w:r>
    </w:p>
    <w:p>
      <w:pPr>
        <w:spacing w:after="120"/>
      </w:pPr>
      <w:r>
        <w:t xml:space="preserve">2. </w:t>
      </w:r>
      <w:r>
        <w:rPr>
          <w:b/>
        </w:rPr>
        <w:t>Idempotência</w:t>
      </w:r>
      <w:r>
        <w:t xml:space="preserve"> — o Spark Structured Streaming mantém um checkpoint que regista os ficheiros Bronze já consumidos, tornando o reprocessamento seguro mesmo após falhas parciais sem risco de duplicação.</w:t>
      </w:r>
    </w:p>
    <w:p>
      <w:pPr>
        <w:spacing w:after="120"/>
      </w:pPr>
      <w:r>
        <w:t xml:space="preserve">3. </w:t>
      </w:r>
      <w:r>
        <w:rPr>
          <w:b/>
        </w:rPr>
        <w:t>Separação de responsabilidades</w:t>
      </w:r>
      <w:r>
        <w:t xml:space="preserve"> — os consumers de ingestão escrevem apenas no Bronze, sem conhecimento das regras de qualidade da camada Silver, mantendo os dois processos independentes e substituíveis.</w:t>
      </w:r>
    </w:p>
    <w:p>
      <w:pPr>
        <w:pStyle w:val="Heading3"/>
      </w:pPr>
      <w:r>
        <w:t>3.3.2 Camada Bronze</w:t>
      </w:r>
    </w:p>
    <w:p>
      <w:pPr>
        <w:pStyle w:val="Heading4"/>
      </w:pPr>
      <w:r>
        <w:t>Objetivo</w:t>
      </w:r>
    </w:p>
    <w:p>
      <w:pPr>
        <w:spacing w:after="120"/>
      </w:pPr>
      <w:r>
        <w:t>A camada Bronze é o ponto de entrada de todos os dados no Data Lakehouse e constitui a sua componente "lake" — a fonte de verdade histórica imutável do sistema. O seu objectivo é único e deliberadamente restrito: receber dados das três fontes no formato mais próximo possível do original e preservá-los sem qualquer transformação de conteúdo. A única modificação introduzida pelos consumers é a adição de dois campos de metadados de ingestão — ingested_at (timestamp de receção) e source (mecanismo de ingestão: kafka, debezium ou minio) — que permitem rastrear a proveniência de cada registo sem alterar o dado em si.</w:t>
      </w:r>
    </w:p>
    <w:p>
      <w:pPr>
        <w:spacing w:after="120"/>
      </w:pPr>
      <w:r>
        <w:t>Esta imutabilidade tem uma consequência arquitectural central: em caso de erro ou alteração das regras de qualidade na camada Silver, é sempre possível reprocessar os dados originais a partir do Bronze sem necessidade de re-ingestão da fonte. A camada Bronze desacopla assim o ritmo de chegada dos dados do ritmo do seu processamento, tornando os dois processos independentes e substituíveis sem perda de informação.</w:t>
      </w:r>
    </w:p>
    <w:p>
      <w:pPr>
        <w:pStyle w:val="Heading4"/>
      </w:pPr>
      <w:r>
        <w:t>Fonte 1 — Clickstream de Navegação</w:t>
      </w:r>
    </w:p>
    <w:p>
      <w:pPr>
        <w:spacing w:after="120"/>
      </w:pPr>
      <w:r>
        <w:rPr>
          <w:b/>
        </w:rPr>
        <w:t>Origem</w:t>
      </w:r>
    </w:p>
    <w:p>
      <w:pPr>
        <w:spacing w:after="120"/>
      </w:pPr>
      <w:r>
        <w:t>Os eventos de clickstream têm origem no módulo simulator/producer.py, que publica cada evento no tópico Kafka clickstream_events em formato JSON. O Kafka actua como buffer durável entre o simulador e o consumer de ingestão, garantindo que nenhum evento se perde mesmo que o consumer esteja temporariamente indisponível.</w:t>
      </w:r>
    </w:p>
    <w:p>
      <w:pPr>
        <w:spacing w:after="120"/>
      </w:pPr>
      <w:r>
        <w:rPr>
          <w:b/>
        </w:rPr>
        <w:t>Extração e Transporte</w:t>
      </w:r>
    </w:p>
    <w:p>
      <w:pPr>
        <w:spacing w:after="120"/>
      </w:pPr>
      <w:r>
        <w:t>Para extrair e transportar os eventos o módulo ingestion/consumer.py subscreve o tópico Kafka e consome as mensagens em modo contínuo. Cada mensagem JSON é desserializada e o campo properties — que é um objecto JSON aninhado com estrutura variável por event_type — é serializado de volta para string antes de ser escrito, preservando o dado bruto sem impor schema fixo na ingestão. Esta decisão é intencional: forçar o parsing do campo properties no Bronze introduziria um schema rígido incompatível com a variabilidade da fonte; a desserialização fica reservada para a camada Silver.</w:t>
      </w:r>
    </w:p>
    <w:p>
      <w:pPr>
        <w:spacing w:after="120"/>
      </w:pPr>
      <w:r>
        <w:rPr>
          <w:b/>
        </w:rPr>
        <w:t>Armazenamento</w:t>
      </w:r>
    </w:p>
    <w:p>
      <w:pPr>
        <w:spacing w:after="120"/>
      </w:pPr>
      <w:r>
        <w:t>Os eventos são acumulados em memória e escritos em ficheiros Parquet no sub-bucket bronze/clickstream/, com particionamento hierárquico em quatro níveis: year, month, day, hour.</w:t>
      </w:r>
    </w:p>
    <w:p>
      <w:pPr>
        <w:pStyle w:val="Heading4"/>
      </w:pPr>
      <w:r>
        <w:t>Fonte 2 — Ordens de Compra (CDC)</w:t>
      </w:r>
    </w:p>
    <w:p>
      <w:pPr>
        <w:spacing w:after="120"/>
      </w:pPr>
      <w:r>
        <w:rPr>
          <w:b/>
        </w:rPr>
        <w:t>Origem</w:t>
      </w:r>
    </w:p>
    <w:p>
      <w:pPr>
        <w:spacing w:after="120"/>
      </w:pPr>
      <w:r>
        <w:t>As ordens de compra estão escritas na tabela simulated_orders do PostgreSQL.</w:t>
      </w:r>
    </w:p>
    <w:p>
      <w:pPr>
        <w:spacing w:after="120"/>
      </w:pPr>
      <w:r>
        <w:rPr>
          <w:b/>
        </w:rPr>
        <w:t>Extracção</w:t>
      </w:r>
    </w:p>
    <w:p>
      <w:pPr>
        <w:spacing w:after="120"/>
      </w:pPr>
      <w:r>
        <w:t>O Debezium monitoriza continuamente o Write-Ahead Log (WAL) do PostgreSQL e captura cada mutação da tabela — INSERT, UPDATE ou snapshot inicial — publicando-a no tópico Kafka debezium.public.simulated_orders encapsulada num envelope JSON com os campos before, after, op e ts_ms. Este mecanismo de Change Data Capture permite capturar a totalidade do ciclo de vida de cada registo sem qualquer alteração ao schema ou ao código do simulador.</w:t>
      </w:r>
    </w:p>
    <w:p>
      <w:pPr>
        <w:spacing w:after="120"/>
      </w:pPr>
      <w:r>
        <w:rPr>
          <w:b/>
        </w:rPr>
        <w:t>Transporte</w:t>
      </w:r>
    </w:p>
    <w:p>
      <w:pPr>
        <w:spacing w:after="120"/>
      </w:pPr>
      <w:r>
        <w:t>O módulo ingestion/cdc_consumer.py subscreve o tópico Debezium e desembrulha o envelope CDC para extrair o campo after, que contém o estado completo da linha após a mutação. São processadas as operações c (INSERT), u (UPDATE) e r (snapshot inicial); os eventos d (DELETE) são descartados porque o modelo de dados do simulador não produz eliminações de ordens. Os campos cdc_operation e cdc_ts_ms são preservados no registo Parquet para que a camada Silver consiga rastrear a origem e a ordem temporal de cada evento. A inclusão dos UPDATEs no Bronze é intencional: o simulador executa uma operação UPDATE sem alteração de dados (noop_update) para simular o comportamento de at-least-once delivery do Debezium, gerando um segundo evento com o mesmo order_id; se esses UPDATEs fossem descartados no Bronze, o mecanismo de deduplicação MERGE INTO da camada Silver não teria oportunidade de actuar.</w:t>
      </w:r>
    </w:p>
    <w:p>
      <w:pPr>
        <w:spacing w:after="120"/>
      </w:pPr>
      <w:r>
        <w:rPr>
          <w:b/>
        </w:rPr>
        <w:t>Armazenamento</w:t>
      </w:r>
    </w:p>
    <w:p>
      <w:pPr>
        <w:spacing w:after="120"/>
      </w:pPr>
      <w:r>
        <w:t>Os registos são escritos em ficheiros Parquet no sub-bucket bronze/orders/, com o mesmo esquema de particionamento de quatro níveis do clickstream: year, month, day, hour.</w:t>
      </w:r>
    </w:p>
    <w:p>
      <w:pPr>
        <w:pStyle w:val="Heading4"/>
      </w:pPr>
      <w:r>
        <w:t>Fonte 3 — Avaliações de Clientes (File Polling)</w:t>
      </w:r>
    </w:p>
    <w:p>
      <w:pPr>
        <w:spacing w:after="120"/>
      </w:pPr>
      <w:r>
        <w:rPr>
          <w:b/>
        </w:rPr>
        <w:t>Origem</w:t>
      </w:r>
    </w:p>
    <w:p>
      <w:pPr>
        <w:spacing w:after="120"/>
      </w:pPr>
      <w:r>
        <w:t xml:space="preserve">As avaliações são escritas pelo simulador como ficheiros de texto no bucket MinIO raw-reviews/. Cada ficheiro tem o nome </w:t>
      </w:r>
      <w:r>
        <w:rPr>
          <w:rFonts w:ascii="Courier New" w:hAnsi="Courier New"/>
          <w:color w:val="646464"/>
          <w:sz w:val="18"/>
        </w:rPr>
        <w:t>{review_id}_{order_id}.txt</w:t>
      </w:r>
      <w:r>
        <w:t xml:space="preserve"> — os únicos metadados estruturados associados à avaliação estão codificados no nome do ficheiro, não no seu conteúdo.</w:t>
      </w:r>
    </w:p>
    <w:p>
      <w:pPr>
        <w:spacing w:after="120"/>
      </w:pPr>
      <w:r>
        <w:rPr>
          <w:b/>
        </w:rPr>
        <w:t>Extracção e transporte</w:t>
      </w:r>
    </w:p>
    <w:p>
      <w:pPr>
        <w:spacing w:after="120"/>
      </w:pPr>
      <w:r>
        <w:t>O módulo ingestion/file_watcher.py inspeciona o bucket raw-reviews/ a cada 30 segundos via API S3 compatível com MinIO. Para cada ficheiro .txt ainda não processado — identificado por comparação com o conjunto de object_keys registados em .watcher_state.json — o review_id e o order_id são extraídos do nome do ficheiro por partição no carácter _, e o conteúdo completo é lido e incluído como campo raw_content no registo Parquet, preservando o texto livre intacto para extracção de informação na camada Silver. Após a escrita do batch, o object_key de cada ficheiro processado é adicionado ao ficheiro de estado, garantindo que o mesmo ficheiro nunca é ingerido duas vezes mesmo após reinicialização do processo.</w:t>
      </w:r>
    </w:p>
    <w:p>
      <w:pPr>
        <w:spacing w:after="120"/>
      </w:pPr>
      <w:r>
        <w:rPr>
          <w:b/>
        </w:rPr>
        <w:t>Armazenamento</w:t>
      </w:r>
    </w:p>
    <w:p>
      <w:pPr>
        <w:spacing w:after="120"/>
      </w:pPr>
      <w:r>
        <w:t>As avaliações são escritas em ficheiros Parquet no sub-bucket bronze/reviews/, com particionamento em três níveis: year, month, day — um nível a menos do que as outras duas fontes, dado o volume mais reduzido e a ausência de granularidade horária no mecanismo de polling.</w:t>
      </w:r>
    </w:p>
    <w:p>
      <w:pPr>
        <w:pStyle w:val="Heading4"/>
      </w:pPr>
      <w:r>
        <w:t>Métodos Comuns</w:t>
      </w:r>
    </w:p>
    <w:p>
      <w:pPr>
        <w:spacing w:after="120"/>
      </w:pPr>
      <w:r>
        <w:rPr>
          <w:b/>
        </w:rPr>
        <w:t>Particionamento hierárquico no padrão Hive</w:t>
      </w:r>
    </w:p>
    <w:p>
      <w:pPr>
        <w:spacing w:after="120"/>
      </w:pPr>
      <w:r>
        <w:t>O particionamento é o mecanismo pelo qual os ficheiros Parquet são organizados em subpastas hierárquicas dentro de cada sub-bucket, seguindo a convenção campo=valor reconhecida nativamente pelo Spark e pelo PyArrow. O seu objectivo é a eliminação de partições na leitura: quando o job Silver processa apenas os dados de uma determinada hora, o Spark filtra a query pela partição correspondente e ignora completamente todas as outras pastas — evitando a leitura e desserialização de ficheiros irrelevantes, o que reduz significativamente o volume de I/O e o tempo de execução em proporção directa com a selectividade temporal do filtro.</w:t>
      </w:r>
    </w:p>
    <w:p>
      <w:pPr>
        <w:spacing w:after="120"/>
      </w:pPr>
      <w:r>
        <w:t xml:space="preserve">O clickstream e as ordens utilizam quatro níveis de partição (year, month, day, hour) porque são gerados em modo contínuo com volume horário expressivo, tornando a granularidade horária relevante para a eliminação de partições. As avaliações utilizam três níveis (year, month, day) porque o seu volume mais reduzido e a cadência de polling de 30 segundos não justificam subdivisão horária. Cada ficheiro dentro da partição é nomeado </w:t>
      </w:r>
      <w:r>
        <w:rPr>
          <w:rFonts w:ascii="Courier New" w:hAnsi="Courier New"/>
          <w:color w:val="646464"/>
          <w:sz w:val="18"/>
        </w:rPr>
        <w:t>batch_&lt;unix_timestamp&gt;.parquet</w:t>
      </w:r>
      <w:r>
        <w:t>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323232"/>
          <w:sz w:val="17"/>
        </w:rPr>
        <w:t>bronze/clickstream/year=2026/month=05/day=25/hour=08/batch_1748174400.parquet</w:t>
        <w:br/>
        <w:t>bronze/orders/year=2026/month=05/day=25/hour=08/batch_1748174400.parquet</w:t>
        <w:br/>
        <w:t>bronze/reviews/year=2026/month=05/day=25/batch_1748174400.parquet</w:t>
      </w:r>
    </w:p>
    <w:p>
      <w:pPr>
        <w:spacing w:after="120"/>
      </w:pPr>
      <w:r>
        <w:rPr>
          <w:b/>
        </w:rPr>
        <w:t>Micro-batching</w:t>
      </w:r>
    </w:p>
    <w:p>
      <w:pPr>
        <w:spacing w:after="120"/>
      </w:pPr>
      <w:r>
        <w:t>O micro-batching é a estratégia pela qual os consumers acumulam registos em memória antes de os escrever num único ficheiro Parquet, em vez de escreverem um ficheiro por registo. O seu objectivo é equilibrar dois requisitos conflituantes: baixa latência de disponibilização dos dados no Bronze e eficiência de leitura pelo Spark. Ficheiros demasiado pequenos — um por mensagem Kafka, por exemplo — degradam o desempenho de leitura do Spark por excesso de overhead de metadata do sistema de ficheiros; ficheiros demasiado grandes aumentam o tempo que os dados aguardam em memória antes de ficarem disponíveis no Bronze.</w:t>
      </w:r>
    </w:p>
    <w:p>
      <w:pPr>
        <w:spacing w:after="120"/>
      </w:pPr>
      <w:r>
        <w:t>Os consumers Kafka (consumer.py) e CDC (cdc_consumer.py) implementam este equilíbrio com dois critérios de flush alternativos: o buffer é escrito quando atinge 500 registos ou quando decorrem 30 segundos desde o último flush, o que ocorrer primeiro. Este duplo critério garante que em períodos de tráfego elevado os ficheiros têm dimensão razoável, e que em períodos de tráfego reduzido os dados não ficam retidos em memória por mais de 30 segundos. O file watcher (file_watcher.py) não mantém buffer contínuo entre ciclos — escreve um único ficheiro Parquet com todos os ficheiros .txt novos encontrados em cada ciclo de polling de 30 segundos.</w:t>
      </w:r>
    </w:p>
    <w:p>
      <w:pPr>
        <w:pStyle w:val="Heading3"/>
      </w:pPr>
      <w:r>
        <w:t>3.3.3 Camada Silver</w:t>
      </w:r>
    </w:p>
    <w:p>
      <w:pPr>
        <w:pStyle w:val="Heading4"/>
      </w:pPr>
      <w:r>
        <w:t>Objectivo</w:t>
      </w:r>
    </w:p>
    <w:p>
      <w:pPr>
        <w:spacing w:after="120"/>
      </w:pPr>
      <w:r>
        <w:t>A camada Silver é a componente "house" do Data Lakehouse — o ponto onde os dados deixam de ser armazenamento bruto e passam a ser uma base analítica estruturada. O seu objectivo é transformar os ficheiros Parquet do Bronze em tabelas Apache Iceberg limpas, tipadas, semanticamente enriquecidas e com garantias ACID, prontas a ser consumidas pela equipa analytical_engineering para a construção do modelo dimensional Gold. É nesta camada que se concentra toda a lógica de qualidade de dados do sistema: a camada Bronze apenas preserva; a camada Silver garante.</w:t>
      </w:r>
    </w:p>
    <w:p>
      <w:pPr>
        <w:spacing w:after="120"/>
      </w:pPr>
      <w:r>
        <w:t>Cada um dos três jobs Spark de transformação Silver lê os ficheiros Parquet do Bronze correspondente, aplica regras de validação e enriquecimento específicas ao tipo de dado, e escreve o resultado numa tabela Iceberg registada no catálogo lake através do Hive Metastore.</w:t>
      </w:r>
    </w:p>
    <w:p>
      <w:pPr>
        <w:pStyle w:val="Heading4"/>
      </w:pPr>
      <w:r>
        <w:t>Job 1 — silver_clickstream.py</w:t>
      </w:r>
    </w:p>
    <w:p>
      <w:pPr>
        <w:spacing w:after="120"/>
      </w:pPr>
      <w:r>
        <w:rPr>
          <w:b/>
        </w:rPr>
        <w:t>Entrada</w:t>
      </w:r>
    </w:p>
    <w:p>
      <w:pPr>
        <w:spacing w:after="120"/>
      </w:pPr>
      <w:r>
        <w:t>Ficheiros Parquet de bronze/clickstream/, lidos com schema explícito para evitar inferência automática.</w:t>
      </w:r>
    </w:p>
    <w:p>
      <w:pPr>
        <w:spacing w:after="120"/>
      </w:pPr>
      <w:r>
        <w:rPr>
          <w:b/>
        </w:rPr>
        <w:t>Transformações e regras de qualidade</w:t>
      </w:r>
    </w:p>
    <w:p>
      <w:pPr>
        <w:spacing w:after="120"/>
      </w:pPr>
      <w:r>
        <w:t xml:space="preserve">O campo properties — preservado como string JSON no Bronze — é desserializado para struct com schema definido, extraindo os atributos específicos de cada event_type (product_id, category, price, etc.). Os eventos com session_id nulo ou vazio são descartados, pois sem identificador de sessão não é possível reconstruir qualquer sequência de navegação. Os eventos sem event_type válido ou sem event_ts são igualmente descartados. Os valores do campo device são normalizados para o vocabulário controlado {mobile, desktop, tablet}: valores não reconhecidos — como "bot" ou "crawler", injectados pelo simulador como ruído — são normalizados para "unknown". Os eventos recebidos correspondem implicitamente aos 11 tipos do funil de conversão — o Kafka producer exclui o evento </w:t>
      </w:r>
      <w:r>
        <w:rPr>
          <w:rFonts w:ascii="Courier New" w:hAnsi="Courier New"/>
          <w:color w:val="646464"/>
          <w:sz w:val="18"/>
        </w:rPr>
        <w:t>order_placed</w:t>
      </w:r>
      <w:r>
        <w:t xml:space="preserve"> antes da publicação, pelo que o Silver nunca recebe eventos fora do vocabulário esperado.</w:t>
      </w:r>
    </w:p>
    <w:p>
      <w:pPr>
        <w:spacing w:after="120"/>
      </w:pPr>
      <w:r>
        <w:rPr>
          <w:b/>
        </w:rPr>
        <w:t>Saída</w:t>
      </w:r>
    </w:p>
    <w:p>
      <w:pPr>
        <w:spacing w:after="120"/>
      </w:pPr>
      <w:r>
        <w:t>Tabela Iceberg lake.silver.clickstream com schema fixo e tipagem forte, em modo append.</w:t>
      </w:r>
    </w:p>
    <w:p>
      <w:pPr>
        <w:pStyle w:val="Heading4"/>
      </w:pPr>
      <w:r>
        <w:t>Job 2 — silver_orders.py</w:t>
      </w:r>
    </w:p>
    <w:p>
      <w:pPr>
        <w:spacing w:after="120"/>
      </w:pPr>
      <w:r>
        <w:rPr>
          <w:b/>
        </w:rPr>
        <w:t>Entrada</w:t>
      </w:r>
    </w:p>
    <w:p>
      <w:pPr>
        <w:spacing w:after="120"/>
      </w:pPr>
      <w:r>
        <w:t>Ficheiros Parquet de bronze/orders/, que contêm eventos CDC do Debezium com os campos operacionais da tabela simulated_orders e os metadados cdc_operation e cdc_ts_ms.</w:t>
      </w:r>
    </w:p>
    <w:p>
      <w:pPr>
        <w:spacing w:after="120"/>
      </w:pPr>
      <w:r>
        <w:rPr>
          <w:b/>
        </w:rPr>
        <w:t>Transformações e regras de qualidade</w:t>
      </w:r>
    </w:p>
    <w:p>
      <w:pPr>
        <w:spacing w:after="120"/>
      </w:pPr>
      <w:r>
        <w:t>Os campos price e freight_value são convertidos de string para DOUBLE — o Debezium serializa colunas NUMERIC do PostgreSQL como string binária no Parquet — e os registos com price ≤ 0 ou freight_value &lt; 0 são descartados como inválidos. O campo state é validado contra o conjunto dos 27 códigos de estado brasileiros: estados não reconhecidos (como "sao paulo") têm state definido como NULL e region como "Desconhecido", sem descartar a ordem. O campo total_value é calculado como round(price + freight_value, 2). Cada ordem é enriquecida com o campo region, derivado do mapeamento dos 27 estados para as cinco macrorregiões brasileiras.</w:t>
      </w:r>
    </w:p>
    <w:p>
      <w:pPr>
        <w:spacing w:after="120"/>
      </w:pPr>
      <w:r>
        <w:rPr>
          <w:b/>
        </w:rPr>
        <w:t>Saída</w:t>
      </w:r>
    </w:p>
    <w:p>
      <w:pPr>
        <w:spacing w:after="120"/>
      </w:pPr>
      <w:r>
        <w:t>Tabela Iceberg lake.silver.orders, com deduplicação garantida por dois níveis (detalhados na secção Mecanismos Comuns).</w:t>
      </w:r>
    </w:p>
    <w:p>
      <w:pPr>
        <w:pStyle w:val="Heading4"/>
      </w:pPr>
      <w:r>
        <w:t>Job 3 — silver_reviews.py</w:t>
      </w:r>
    </w:p>
    <w:p>
      <w:pPr>
        <w:spacing w:after="120"/>
      </w:pPr>
      <w:r>
        <w:rPr>
          <w:b/>
        </w:rPr>
        <w:t>Entrada</w:t>
      </w:r>
    </w:p>
    <w:p>
      <w:pPr>
        <w:spacing w:after="120"/>
      </w:pPr>
      <w:r>
        <w:t>Ficheiros Parquet de bronze/reviews/, que contêm o campo raw_content com o texto integral de cada avaliação e os campos review_id e order_id já extraídos do nome do ficheiro pelo file_watcher na camada de ingestão.</w:t>
      </w:r>
    </w:p>
    <w:p>
      <w:pPr>
        <w:spacing w:after="120"/>
      </w:pPr>
      <w:r>
        <w:rPr>
          <w:b/>
        </w:rPr>
        <w:t>Transformações e regras de qualidade</w:t>
      </w:r>
    </w:p>
    <w:p>
      <w:pPr>
        <w:spacing w:after="120"/>
      </w:pPr>
      <w:r>
        <w:t xml:space="preserve">O Silver valida que os campos review_id e order_id não são nulos e têm conteúdo; registos com identificadores em falta são descartados. O rating é extraído do texto livre por duas expressões regulares correspondentes às duas formas produzidas pelo simulador — </w:t>
      </w:r>
      <w:r>
        <w:rPr>
          <w:i/>
        </w:rPr>
        <w:t>"Dou X estrelas em 5"</w:t>
      </w:r>
      <w:r>
        <w:t xml:space="preserve"> e </w:t>
      </w:r>
      <w:r>
        <w:rPr>
          <w:i/>
        </w:rPr>
        <w:t>"Classifico este produto com X/5"</w:t>
      </w:r>
      <w:r>
        <w:t xml:space="preserve"> —; registos para os quais nenhum padrão produz um valor válido no intervalo [1, 5] são descartados. O text_length é calculado como contagem de palavras por split em espaços. O raw_content completo é preservado como campo message para consumo posterior.</w:t>
      </w:r>
    </w:p>
    <w:p>
      <w:pPr>
        <w:spacing w:after="120"/>
      </w:pPr>
      <w:r>
        <w:rPr>
          <w:b/>
        </w:rPr>
        <w:t>Saída</w:t>
      </w:r>
    </w:p>
    <w:p>
      <w:pPr>
        <w:spacing w:after="120"/>
      </w:pPr>
      <w:r>
        <w:t>Tabela Iceberg lake.silver.reviews, com deduplicação garantida por MERGE INTO (detalhado na secção Mecanismos Comuns).</w:t>
      </w:r>
    </w:p>
    <w:p>
      <w:pPr>
        <w:pStyle w:val="Heading4"/>
      </w:pPr>
      <w:r>
        <w:t>Mecanismos Comuns</w:t>
      </w:r>
    </w:p>
    <w:p>
      <w:pPr>
        <w:spacing w:after="120"/>
      </w:pPr>
      <w:r>
        <w:rPr>
          <w:b/>
        </w:rPr>
        <w:t>Checkpoint do Spark Structured Streaming</w:t>
      </w:r>
    </w:p>
    <w:p>
      <w:pPr>
        <w:spacing w:after="120"/>
      </w:pPr>
      <w:r>
        <w:t xml:space="preserve">Os três jobs utilizam </w:t>
      </w:r>
      <w:r>
        <w:rPr>
          <w:rFonts w:ascii="Courier New" w:hAnsi="Courier New"/>
          <w:color w:val="646464"/>
          <w:sz w:val="18"/>
        </w:rPr>
        <w:t>trigger(availableNow=True)</w:t>
      </w:r>
      <w:r>
        <w:t>, que instrui o Spark a processar todos os ficheiros Bronze ainda não consumidos e a terminar — em vez de correr indefinidamente como um stream contínuo. O estado de progresso é mantido num checkpoint persistido em MinIO (s3a://silver/_checkpoints/{clickstream,orders,reviews}): o Spark regista neste checkpoint os ficheiros Bronze já processados em runs anteriores e, no início de cada novo run, lê apenas os ficheiros ainda não registados. Este mecanismo garante idempotência: se um job falhar a meio e for relançado pela DAG, não reprocessa dados já escritos na Silver.</w:t>
      </w:r>
    </w:p>
    <w:p>
      <w:pPr>
        <w:spacing w:after="120"/>
      </w:pPr>
      <w:r>
        <w:rPr>
          <w:b/>
        </w:rPr>
        <w:t>Deduplicação com MERGE INTO Iceberg</w:t>
      </w:r>
    </w:p>
    <w:p>
      <w:pPr>
        <w:spacing w:after="120"/>
      </w:pPr>
      <w:r>
        <w:t>Os jobs de ordens e reviews enfrentam um problema adicional de deduplicação: o Bronze pode conter múltiplos eventos para o mesmo order_id (devido ao at-least-once delivery do Debezium) ou para o mesmo review_id (devido às submissões duplicadas injectadas pelo simulador). A deduplicação é feita em dois níveis. Dentro de cada micro-batch processado pelo Spark, uma window function (ROW_NUMBER OVER PARTITION BY order_id/review_id ORDER BY cdc_ts_ms DESC) retém apenas o evento mais recente por chave. Entre runs, o MERGE INTO Iceberg com WHEN NOT MATCHED THEN INSERT * garante que um order_id ou review_id já existente na Silver nunca é duplicado por runs posteriores — independentemente do número de vezes que o mesmo evento apareça no Bronze. O job de clickstream não necessita deste mecanismo porque os eventos de clickstream são naturalmente únicos por event_id e são escritos em modo append directo.</w:t>
      </w:r>
    </w:p>
    <w:p>
      <w:pPr>
        <w:spacing w:after="120"/>
      </w:pPr>
      <w:r>
        <w:t>O código dos três jobs é da responsabilidade da equipa data_engineering; a execução é agendada e despoletada pela DAG trendmart_gold_pipeline da equipa infrastructure (infrastructure/dags/dag_trendmart.py), com cadência horária definida como requisito de SLA pela equipa analytical_engineering.</w:t>
      </w:r>
    </w:p>
    <w:p>
      <w:pPr>
        <w:pStyle w:val="Heading2"/>
      </w:pPr>
      <w:r>
        <w:t>3.4 Engenharia Analítica</w:t>
      </w:r>
    </w:p>
    <w:p>
      <w:pPr>
        <w:spacing w:after="120"/>
      </w:pPr>
      <w:r>
        <w:t>A equipa analytical_engineering transforma os dados operacionais limpos da camada Silver num modelo analítico pronto a consumir — o modelo dimensional Gold — e expõe-o ao dashboard através de seis vistas SQL Trino. A equipa consome exclusivamente as tabelas Silver entregues pela data_engineering e produz o conjunto de artefactos que constituem a interface entre o pipeline de dados e a camada de análise: dimensões, tabelas de factos e vistas que encapsulam toda a lógica de agregação e cálculo de métricas derivadas, tornando o dashboard um consumidor passivo de dados já prontos para visualização.</w:t>
      </w:r>
    </w:p>
    <w:p>
      <w:pPr>
        <w:spacing w:after="120"/>
      </w:pPr>
      <w:r>
        <w:t>Esta secção descreve o modelo dimensional (3.4.1), a sua implementação física em Apache Iceberg (3.4.2) e as vistas Trino que expõem o modelo (3.4.3). O consumo destas vistas pelo dashboard e o seu valor analítico por perfil de utilizador são detalhados no capítulo 4.</w:t>
      </w:r>
    </w:p>
    <w:p>
      <w:pPr>
        <w:pStyle w:val="Heading3"/>
      </w:pPr>
      <w:r>
        <w:t>3.4.1 Modelo Dimensional</w:t>
      </w:r>
    </w:p>
    <w:p>
      <w:pPr>
        <w:spacing w:after="120"/>
      </w:pPr>
      <w:r>
        <w:t>O sistema de dados analítico do TrendMart implementa um modelo dimensional em esquema estrela na camada Gold do Data Lakehouse, armazenado em tabelas Apache Iceberg sobre MinIO e acessível via Trino. A escolha de um modelo dimensional — em detrimento de uma modelação relacional normalizada (3NF) — decorre dos padrões de acesso analítico dominantes: queries que atravessam múltiplas dimensões (por exemplo, "receita por categoria, por mês, por região"), contagens e agregações sobre grandes volumes de factos, e filtragens sobre atributos descritivos das dimensões. O esquema estrela minimiza o número de joins necessários por query analítica e torna as estruturas de dados imediatamente compreensíveis para analistas sem conhecimento técnico do pipeline. O processo de conceção seguiu os quatro passos do método de Kimball, com as escolhas de design ancoradas nos requisitos funcionais do capítulo 2.</w:t>
      </w:r>
    </w:p>
    <w:p>
      <w:pPr>
        <w:pStyle w:val="Heading4"/>
      </w:pPr>
      <w:r>
        <w:t>Passo 1 — Identificação dos Processos de Negócio</w:t>
      </w:r>
    </w:p>
    <w:p>
      <w:pPr>
        <w:spacing w:after="120"/>
      </w:pPr>
      <w:r>
        <w:t>Foram identificados três processos de negócio distintos mas complementares, cada um correspondendo a uma tabela de factos:</w:t>
      </w:r>
    </w:p>
    <w:p>
      <w:pPr>
        <w:pStyle w:val="ListBullet"/>
        <w:spacing w:after="40"/>
        <w:ind w:left="283"/>
      </w:pPr>
      <w:r>
        <w:rPr>
          <w:b/>
        </w:rPr>
        <w:t>Vendas e Encomendas</w:t>
      </w:r>
      <w:r>
        <w:t>: o ciclo de vida de uma encomenda desde a compra até à sua conclusão, com métricas financeiras — suporta os perfis Gestor Executivo (RF1.1–RF1.4), Analista de Vendas (RF2.1–RF2.4) e Analista de Tendências (RF5.1–RF5.4);</w:t>
      </w:r>
    </w:p>
    <w:p>
      <w:pPr>
        <w:pStyle w:val="ListBullet"/>
        <w:spacing w:after="40"/>
        <w:ind w:left="283"/>
      </w:pPr>
      <w:r>
        <w:rPr>
          <w:b/>
        </w:rPr>
        <w:t>Comportamento de Navegação</w:t>
      </w:r>
      <w:r>
        <w:t>: os eventos que os utilizadores geram na plataforma, que permitem analisar o funil de conversão digital — suporta o perfil Analista de Marketing (RF3.1–RF3.4);</w:t>
      </w:r>
    </w:p>
    <w:p>
      <w:pPr>
        <w:pStyle w:val="ListBullet"/>
        <w:spacing w:after="40"/>
        <w:ind w:left="283"/>
      </w:pPr>
      <w:r>
        <w:rPr>
          <w:b/>
        </w:rPr>
        <w:t>Avaliações de Clientes</w:t>
      </w:r>
      <w:r>
        <w:t>: o feedback qualitativo pós-compra, com classificação de sentimento — suporta o perfil Gestor de Customer Experience (RF4.1–RF4.4).</w:t>
      </w:r>
    </w:p>
    <w:p>
      <w:pPr>
        <w:pStyle w:val="Heading4"/>
      </w:pPr>
      <w:r>
        <w:t>Passo 2 — Definição da Granularidade</w:t>
      </w:r>
    </w:p>
    <w:p>
      <w:pPr>
        <w:spacing w:after="120"/>
      </w:pPr>
      <w:r>
        <w:t>Para fact_sales, a granularidade é ao nível da ordem individual: cada linha representa uma transação de compra. Esta granularidade permite agregar métricas em qualquer nível superior (categoria, dia, região) sem perda de informação.</w:t>
      </w:r>
    </w:p>
    <w:p>
      <w:pPr>
        <w:spacing w:after="120"/>
      </w:pPr>
      <w:r>
        <w:t>Para fact_clickstream, a granularidade é ao nível do evento individual: cada linha representa um clique, visualização, ou acção no funil. Esta granularidade permite reconstruir sessões completas e calcular taxas de conversão em qualquer ponto do funil.</w:t>
      </w:r>
    </w:p>
    <w:p>
      <w:pPr>
        <w:spacing w:after="120"/>
      </w:pPr>
      <w:r>
        <w:t>Para fact_reviews, a granularidade é ao nível da avaliação individual: cada linha representa um ficheiro de review processado, com o rating, sentimento, categoria e região associados.</w:t>
      </w:r>
    </w:p>
    <w:p>
      <w:pPr>
        <w:pStyle w:val="Heading4"/>
      </w:pPr>
      <w:r>
        <w:t>Passo 3 — Identificação das Dimensões</w:t>
      </w:r>
    </w:p>
    <w:p>
      <w:pPr>
        <w:spacing w:after="120"/>
      </w:pPr>
      <w:r>
        <w:t>A seleção das dimensões partiu da análise dos eixos de análise exigidos pelos requisitos funcionais do capítulo 2. Todos os perfis necessitam de análise temporal; os perfis de natureza ERP (Analista de Vendas, Analista de Tendências) e o Gestor de Customer Experience necessitam de análise por categoria; o Analista de Vendas e o Gestor de Customer Experience necessitam de análise geográfica. Isto determina exactamente três dimensões, necessárias e suficientes:</w:t>
      </w:r>
    </w:p>
    <w:p>
      <w:pPr>
        <w:pStyle w:val="ListBullet"/>
        <w:spacing w:after="40"/>
        <w:ind w:left="283"/>
      </w:pPr>
      <w:r>
        <w:rPr>
          <w:b/>
        </w:rPr>
        <w:t>dim_date</w:t>
      </w:r>
      <w:r>
        <w:t xml:space="preserve">: responde ao </w:t>
      </w:r>
      <w:r>
        <w:rPr>
          <w:i/>
        </w:rPr>
        <w:t>quando</w:t>
      </w:r>
      <w:r>
        <w:t>. Criada como calendário completo de 2020 a 2030 (3 652 datas), com atributos derivados: year, month, quarter, week, day_of_week, is_weekend. É partilhada pelas três tabelas de factos e pelas tabelas ML.</w:t>
      </w:r>
    </w:p>
    <w:p>
      <w:pPr>
        <w:pStyle w:val="ListBullet"/>
        <w:spacing w:after="40"/>
        <w:ind w:left="283"/>
      </w:pPr>
      <w:r>
        <w:rPr>
          <w:b/>
        </w:rPr>
        <w:t>dim_category</w:t>
      </w:r>
      <w:r>
        <w:t xml:space="preserve">: responde ao </w:t>
      </w:r>
      <w:r>
        <w:rPr>
          <w:i/>
        </w:rPr>
        <w:t>o quê</w:t>
      </w:r>
      <w:r>
        <w:t xml:space="preserve"> ao nível de categoria. Contém os nomes de categoria derivados das ordens e do clickstream, com </w:t>
      </w:r>
      <w:r>
        <w:rPr>
          <w:rFonts w:ascii="Courier New" w:hAnsi="Courier New"/>
          <w:color w:val="646464"/>
          <w:sz w:val="18"/>
        </w:rPr>
        <w:t>category_id</w:t>
      </w:r>
      <w:r>
        <w:t xml:space="preserve"> gerado por hash determinístico do nome. Permite análise por categoria em qualquer tabela de factos.</w:t>
      </w:r>
    </w:p>
    <w:p>
      <w:pPr>
        <w:pStyle w:val="ListBullet"/>
        <w:spacing w:after="40"/>
        <w:ind w:left="283"/>
      </w:pPr>
      <w:r>
        <w:rPr>
          <w:b/>
        </w:rPr>
        <w:t>dim_geography</w:t>
      </w:r>
      <w:r>
        <w:t xml:space="preserve">: responde ao </w:t>
      </w:r>
      <w:r>
        <w:rPr>
          <w:i/>
        </w:rPr>
        <w:t>onde</w:t>
      </w:r>
      <w:r>
        <w:t xml:space="preserve">. Mapeia os 27 estados brasileiros para as cinco macrorregiões (Norte, Nordeste, Centro-Oeste, Sudeste, Sul), com </w:t>
      </w:r>
      <w:r>
        <w:rPr>
          <w:rFonts w:ascii="Courier New" w:hAnsi="Courier New"/>
          <w:color w:val="646464"/>
          <w:sz w:val="18"/>
        </w:rPr>
        <w:t>geo_id</w:t>
      </w:r>
      <w:r>
        <w:t xml:space="preserve"> gerado por hash do código de estado.</w:t>
      </w:r>
    </w:p>
    <w:p>
      <w:pPr>
        <w:spacing w:after="120"/>
      </w:pPr>
      <w:r>
        <w:t>Não foram criadas dimensões ao nível de produto ou de cliente porque nenhum requisito funcional do capítulo 2 exige análise a esse nível de detalhe — toda a análise de produto é feita ao nível de categoria (RF2.1, RF4.3, RF5.4) e toda a análise de cliente é expressa em contagens de clientes únicos por dia (RF1.1, RF2.2), não em atributos de clientes individuais.</w:t>
      </w:r>
    </w:p>
    <w:p>
      <w:pPr>
        <w:pStyle w:val="Heading4"/>
      </w:pPr>
      <w:r>
        <w:t>Passo 4 — Identificação dos Factos</w:t>
      </w:r>
    </w:p>
    <w:p>
      <w:pPr>
        <w:spacing w:after="120"/>
      </w:pPr>
      <w:r>
        <w:t>fact_sales contém métricas aditivas (price, freight_value, total_value), as chaves de negócio order_id, customer_id e session_id, e chaves estrangeiras para as três dimensões (date_id, category_id, geo_id). O customer_id é preservado como atributo degenerado para permitir a contagem de clientes únicos (RF1.1, RF2.2) sem necessidade de uma dimensão dim_customer.</w:t>
      </w:r>
    </w:p>
    <w:p>
      <w:pPr>
        <w:spacing w:after="120"/>
      </w:pPr>
      <w:r>
        <w:t>fact_clickstream contém event_type e device como factos degenerados (vocabulários controlados com número fixo de valores), session_id e user_id como chaves de negócio, e chaves estrangeiras para dim_date (date_id) e dim_category (category_id). Não tem FK para dim_geography porque nenhum requisito do perfil Analista de Marketing (RF3.1–RF3.4) exige análise geográfica do comportamento de navegação.</w:t>
      </w:r>
    </w:p>
    <w:p>
      <w:pPr>
        <w:spacing w:after="120"/>
      </w:pPr>
      <w:r>
        <w:t>fact_reviews contém rating (semi-aditivo — o indicador relevante é a média, não a soma), sentiment como facto degenerado (positive, neutral, negative, classificado em gold_reviews.py), e chaves estrangeiras para as três dimensões (date_id, category_id, geo_id). O geo_id é resolvido em gold_reviews.py por join com silver.orders para obter o estado do cliente da ordem associada, seguido de lookup em dim_geography — garantindo que a geografia fica inscrita no próprio facto e não depende de um join posterior através de fact_sales, o que causaria NULLs em reviews cujas ordens ainda não tivessem chegado ao Gold no momento da execução da DAG.</w:t>
      </w:r>
    </w:p>
    <w:p>
      <w:pPr>
        <w:spacing w:after="120"/>
      </w:pPr>
      <w:r>
        <w:t>A tabela ml_demand_forecast é uma tabela Gold adicional que não faz parte do modelo dimensional principal mas partilha a convenção de nomenclatura e é acessível via Trino. É gerada pela DAG independente trendmart_ml_pipeline e consumida directamente pelo dashboard sem passar por vistas.</w:t>
      </w:r>
    </w:p>
    <w:p>
      <w:pPr>
        <w:pStyle w:val="Heading3"/>
      </w:pPr>
      <w:r>
        <w:t>3.4.2 Implementação Física do Schema</w:t>
      </w:r>
    </w:p>
    <w:p>
      <w:pPr>
        <w:spacing w:after="120"/>
      </w:pPr>
      <w:r>
        <w:t>Os jobs Spark da equipa analytical_engineering são invocados pela DAG trendmart_gold_pipeline com cadência horária. Existem dois padrões de escrita distintos consoante o tipo de tabela.</w:t>
      </w:r>
    </w:p>
    <w:p>
      <w:pPr>
        <w:pStyle w:val="Heading4"/>
      </w:pPr>
      <w:r>
        <w:t>Dimensões — createOrReplace a cada run</w:t>
      </w:r>
    </w:p>
    <w:p>
      <w:pPr>
        <w:spacing w:after="120"/>
      </w:pPr>
      <w:r>
        <w:t>Os três jobs de dimensões (gold_dimensions.py) recriam integralmente dim_date, dim_category e dim_geography a cada execução via writeTo().createOrReplace(). Esta escolha é deliberada: as dimensões têm um conjunto de valores pequeno e estável, e recalculá-las completamente garante que qualquer nova categoria ou novo estado presente no Silver fica reflectido imediatamente, sem lógica de merge ou detecção de diferenças.</w:t>
      </w:r>
    </w:p>
    <w:p>
      <w:pPr>
        <w:pStyle w:val="Heading4"/>
      </w:pPr>
      <w:r>
        <w:t>Tabelas de factos</w:t>
      </w:r>
    </w:p>
    <w:p>
      <w:pPr>
        <w:spacing w:after="120"/>
      </w:pPr>
      <w:r>
        <w:t>Os três jobs de factos (gold_sales.py, gold_clickstream.py, gold_reviews.py) usam um modelo de carga incremental baseado na janela de execução do Airflow. O DAG passa a cada job os parâmetros data_interval_start e data_interval_end — os timestamps exatos da hora que está a ser processada —, e o job filtra a tabela Silver pelo campo ingested_at dentro dessa janela: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323232"/>
          <w:sz w:val="17"/>
        </w:rPr>
        <w:t>ingested_at &gt;= data_interval_start  AND  ingested_at &lt; data_interval_end</w:t>
      </w:r>
    </w:p>
    <w:p>
      <w:pPr>
        <w:spacing w:after="120"/>
      </w:pPr>
      <w:r>
        <w:t>O campo ingested_at é atribuído por-registo no momento em que cada consumer Bronze recebe a mensagem (do Kafka, do CDC ou do MinIO), pelo que reflecte o instante real de ingestão de cada evento individual — não o timestamp do ficheiro Parquet que o contém.</w:t>
      </w:r>
    </w:p>
    <w:p>
      <w:pPr>
        <w:spacing w:after="120"/>
      </w:pPr>
      <w:r>
        <w:t>Na primeira execução, quando a tabela Gold ainda não existe, o job usa writeTo().createOrReplace() para a criar com o schema e particionamento corretos. Nas execuções seguintes usa writeTo().append(), adicionando apenas os registos da hora processada. Se não existirem registos na janela — por exemplo num período de tráfego nulo —, o job termina sem escrever, evitando commits vazios.</w:t>
      </w:r>
    </w:p>
    <w:p>
      <w:pPr>
        <w:spacing w:after="120"/>
      </w:pPr>
      <w:r>
        <w:t>Este modelo é distinto do mecanismo incremental da camada Silver: os jobs Silver usam Spark Structured Streaming com trigger(availableNow=True) e um checkpoint persistido em MinIO, que rastreia quais ficheiros Bronze já foram lidos pelo path — sem dependência do Airflow. O Gold delega essa responsabilidade ao orquestrador, o que torna cada run Gold determinístico e reproduzível: re-executar a janela das 13:00–14:00 produz sempre o mesmo resultado, independentemente de quando a re-execução ocorre.</w:t>
      </w:r>
    </w:p>
    <w:p>
      <w:pPr>
        <w:pStyle w:val="Heading4"/>
      </w:pPr>
      <w:r>
        <w:t>Tabelas ML — createOrReplace diário</w:t>
      </w:r>
    </w:p>
    <w:p>
      <w:pPr>
        <w:spacing w:after="120"/>
      </w:pPr>
      <w:r>
        <w:t>A tabela ml_demand_forecast é substituída na totalidade a cada execução diária da DAG trendmart_ml_pipeline via createOrReplace, porque o modelo é retreinado de raiz com o histórico completo disponível nesse momento.</w:t>
      </w:r>
    </w:p>
    <w:p>
      <w:pPr>
        <w:pStyle w:val="Heading4"/>
      </w:pPr>
      <w:r>
        <w:t>Catálogo partilhado</w:t>
      </w:r>
    </w:p>
    <w:p>
      <w:pPr>
        <w:spacing w:after="120"/>
      </w:pPr>
      <w:r>
        <w:t>O catálogo Iceberg é gerido pelo Hive Metastore (protocolo Thrift), partilhado entre o Spark (escrita) e o Trino (leitura). Esta partilha permite ao Trino ver imediatamente as tabelas escritas pelo Spark sem registo manual — é o que torna as tabelas Gold consultáveis pelo dashboard logo após cada execução da DAG.</w:t>
      </w:r>
    </w:p>
    <w:p>
      <w:pPr>
        <w:pStyle w:val="Heading3"/>
      </w:pPr>
      <w:r>
        <w:t>3.4.3 Vistas Trino</w:t>
      </w:r>
    </w:p>
    <w:p>
      <w:pPr>
        <w:spacing w:after="120"/>
      </w:pPr>
      <w:r>
        <w:t xml:space="preserve">As seis vistas são criadas pelo script </w:t>
      </w:r>
      <w:r>
        <w:rPr>
          <w:rFonts w:ascii="Courier New" w:hAnsi="Courier New"/>
          <w:color w:val="646464"/>
          <w:sz w:val="18"/>
        </w:rPr>
        <w:t>analytical_engineering/views/init_views.py</w:t>
      </w:r>
      <w:r>
        <w:t xml:space="preserve">, executado como última task da DAG </w:t>
      </w:r>
      <w:r>
        <w:rPr>
          <w:rFonts w:ascii="Courier New" w:hAnsi="Courier New"/>
          <w:color w:val="646464"/>
          <w:sz w:val="18"/>
        </w:rPr>
        <w:t>trendmart_gold_pipeline</w:t>
      </w:r>
      <w:r>
        <w:t xml:space="preserve"> após a conclusão de todos os jobs Gold. Encapsulam joins entre factos e dimensões, agregações e métricas derivadas — expondo os dados no formato exactamente esperado pelo dashboard sem necessidade de lógica de negócio no cliente. Cada vista serve um perfil de utilizador definido no capítulo 2 e satisfaz os requisitos funcionais correspondentes.</w:t>
      </w:r>
    </w:p>
    <w:p>
      <w:pPr>
        <w:spacing w:after="120"/>
      </w:pPr>
      <w:r>
        <w:rPr>
          <w:b/>
        </w:rPr>
        <w:t>vw_executive</w:t>
      </w:r>
      <w:r>
        <w:t xml:space="preserve"> — Perfil: Gestor Executivo (RF1.1–RF1.4)</w:t>
      </w:r>
    </w:p>
    <w:p>
      <w:pPr>
        <w:spacing w:after="120"/>
      </w:pPr>
      <w:r>
        <w:t xml:space="preserve">Agrega os dados diariamente ao nível global — sem desagregação por categoria ou região —, produzindo uma linha por dia com as colunas </w:t>
      </w:r>
      <w:r>
        <w:rPr>
          <w:rFonts w:ascii="Courier New" w:hAnsi="Courier New"/>
          <w:color w:val="646464"/>
          <w:sz w:val="18"/>
        </w:rPr>
        <w:t>total_orders</w:t>
      </w:r>
      <w:r>
        <w:t xml:space="preserve">, </w:t>
      </w:r>
      <w:r>
        <w:rPr>
          <w:rFonts w:ascii="Courier New" w:hAnsi="Courier New"/>
          <w:color w:val="646464"/>
          <w:sz w:val="18"/>
        </w:rPr>
        <w:t>total_customers</w:t>
      </w:r>
      <w:r>
        <w:t xml:space="preserve">, </w:t>
      </w:r>
      <w:r>
        <w:rPr>
          <w:rFonts w:ascii="Courier New" w:hAnsi="Courier New"/>
          <w:color w:val="646464"/>
          <w:sz w:val="18"/>
        </w:rPr>
        <w:t>total_revenue</w:t>
      </w:r>
      <w:r>
        <w:t xml:space="preserve">, </w:t>
      </w:r>
      <w:r>
        <w:rPr>
          <w:rFonts w:ascii="Courier New" w:hAnsi="Courier New"/>
          <w:color w:val="646464"/>
          <w:sz w:val="18"/>
        </w:rPr>
        <w:t>avg_order_value</w:t>
      </w:r>
      <w:r>
        <w:t xml:space="preserve">, </w:t>
      </w:r>
      <w:r>
        <w:rPr>
          <w:rFonts w:ascii="Courier New" w:hAnsi="Courier New"/>
          <w:color w:val="646464"/>
          <w:sz w:val="18"/>
        </w:rPr>
        <w:t>avg_rating</w:t>
      </w:r>
      <w:r>
        <w:t xml:space="preserve">, </w:t>
      </w:r>
      <w:r>
        <w:rPr>
          <w:rFonts w:ascii="Courier New" w:hAnsi="Courier New"/>
          <w:color w:val="646464"/>
          <w:sz w:val="18"/>
        </w:rPr>
        <w:t>positive_reviews</w:t>
      </w:r>
      <w:r>
        <w:t xml:space="preserve"> e </w:t>
      </w:r>
      <w:r>
        <w:rPr>
          <w:rFonts w:ascii="Courier New" w:hAnsi="Courier New"/>
          <w:color w:val="646464"/>
          <w:sz w:val="18"/>
        </w:rPr>
        <w:t>negative_reviews</w:t>
      </w:r>
      <w:r>
        <w:t>. Responde a RF1.1 (KPIs globais diários), RF1.2 (evolução diária da receita), RF1.3 (volume diário de reviews positivas e negativas) e RF1.4 (rating médio diário).</w:t>
      </w:r>
    </w:p>
    <w:p>
      <w:pPr>
        <w:spacing w:after="120"/>
      </w:pPr>
      <w:r>
        <w:rPr>
          <w:b/>
        </w:rPr>
        <w:t>vw_sales_performance</w:t>
      </w:r>
      <w:r>
        <w:t xml:space="preserve"> — Perfil: Analista de Vendas (RF2.1–RF2.4)</w:t>
      </w:r>
    </w:p>
    <w:p>
      <w:pPr>
        <w:spacing w:after="120"/>
      </w:pPr>
      <w:r>
        <w:t xml:space="preserve">Opera ao nível da combinação (data, categoria, estado, região), expondo </w:t>
      </w:r>
      <w:r>
        <w:rPr>
          <w:rFonts w:ascii="Courier New" w:hAnsi="Courier New"/>
          <w:color w:val="646464"/>
          <w:sz w:val="18"/>
        </w:rPr>
        <w:t>purchase_date</w:t>
      </w:r>
      <w:r>
        <w:t xml:space="preserve">, </w:t>
      </w:r>
      <w:r>
        <w:rPr>
          <w:rFonts w:ascii="Courier New" w:hAnsi="Courier New"/>
          <w:color w:val="646464"/>
          <w:sz w:val="18"/>
        </w:rPr>
        <w:t>category</w:t>
      </w:r>
      <w:r>
        <w:t xml:space="preserve">, </w:t>
      </w:r>
      <w:r>
        <w:rPr>
          <w:rFonts w:ascii="Courier New" w:hAnsi="Courier New"/>
          <w:color w:val="646464"/>
          <w:sz w:val="18"/>
        </w:rPr>
        <w:t>state</w:t>
      </w:r>
      <w:r>
        <w:t xml:space="preserve">, </w:t>
      </w:r>
      <w:r>
        <w:rPr>
          <w:rFonts w:ascii="Courier New" w:hAnsi="Courier New"/>
          <w:color w:val="646464"/>
          <w:sz w:val="18"/>
        </w:rPr>
        <w:t>region</w:t>
      </w:r>
      <w:r>
        <w:t xml:space="preserve">, </w:t>
      </w:r>
      <w:r>
        <w:rPr>
          <w:rFonts w:ascii="Courier New" w:hAnsi="Courier New"/>
          <w:color w:val="646464"/>
          <w:sz w:val="18"/>
        </w:rPr>
        <w:t>orders</w:t>
      </w:r>
      <w:r>
        <w:t xml:space="preserve">, </w:t>
      </w:r>
      <w:r>
        <w:rPr>
          <w:rFonts w:ascii="Courier New" w:hAnsi="Courier New"/>
          <w:color w:val="646464"/>
          <w:sz w:val="18"/>
        </w:rPr>
        <w:t>customers</w:t>
      </w:r>
      <w:r>
        <w:t xml:space="preserve">, </w:t>
      </w:r>
      <w:r>
        <w:rPr>
          <w:rFonts w:ascii="Courier New" w:hAnsi="Courier New"/>
          <w:color w:val="646464"/>
          <w:sz w:val="18"/>
        </w:rPr>
        <w:t>revenue</w:t>
      </w:r>
      <w:r>
        <w:t xml:space="preserve">, </w:t>
      </w:r>
      <w:r>
        <w:rPr>
          <w:rFonts w:ascii="Courier New" w:hAnsi="Courier New"/>
          <w:color w:val="646464"/>
          <w:sz w:val="18"/>
        </w:rPr>
        <w:t>avg_order_value</w:t>
      </w:r>
      <w:r>
        <w:t xml:space="preserve">, </w:t>
      </w:r>
      <w:r>
        <w:rPr>
          <w:rFonts w:ascii="Courier New" w:hAnsi="Courier New"/>
          <w:color w:val="646464"/>
          <w:sz w:val="18"/>
        </w:rPr>
        <w:t>product_revenue</w:t>
      </w:r>
      <w:r>
        <w:t xml:space="preserve"> e </w:t>
      </w:r>
      <w:r>
        <w:rPr>
          <w:rFonts w:ascii="Courier New" w:hAnsi="Courier New"/>
          <w:color w:val="646464"/>
          <w:sz w:val="18"/>
        </w:rPr>
        <w:t>freight_revenue</w:t>
      </w:r>
      <w:r>
        <w:t>. A granularidade ao nível da data permite ao dashboard agregar em qualquer dimensão superior sem perda de informação. Responde a RF2.1 (receita por categoria e região), RF2.2 (clientes únicos por dia), RF2.3 (impacto do frete) e RF2.4 (volume de ordens por período).</w:t>
      </w:r>
    </w:p>
    <w:p>
      <w:pPr>
        <w:spacing w:after="120"/>
      </w:pPr>
      <w:r>
        <w:rPr>
          <w:b/>
        </w:rPr>
        <w:t>vw_funnel</w:t>
      </w:r>
      <w:r>
        <w:t xml:space="preserve"> — Perfil: Analista de Marketing (RF3.1–RF3.4)</w:t>
      </w:r>
    </w:p>
    <w:p>
      <w:pPr>
        <w:spacing w:after="120"/>
      </w:pPr>
      <w:r>
        <w:t xml:space="preserve">Agrega os eventos de clickstream com granularidade horária, produzindo uma linha por combinação de (hora, data, tipo de evento, dispositivo, categoria) com </w:t>
      </w:r>
      <w:r>
        <w:rPr>
          <w:rFonts w:ascii="Courier New" w:hAnsi="Courier New"/>
          <w:color w:val="646464"/>
          <w:sz w:val="18"/>
        </w:rPr>
        <w:t>event_count</w:t>
      </w:r>
      <w:r>
        <w:t xml:space="preserve">, </w:t>
      </w:r>
      <w:r>
        <w:rPr>
          <w:rFonts w:ascii="Courier New" w:hAnsi="Courier New"/>
          <w:color w:val="646464"/>
          <w:sz w:val="18"/>
        </w:rPr>
        <w:t>sessions</w:t>
      </w:r>
      <w:r>
        <w:t xml:space="preserve"> e </w:t>
      </w:r>
      <w:r>
        <w:rPr>
          <w:rFonts w:ascii="Courier New" w:hAnsi="Courier New"/>
          <w:color w:val="646464"/>
          <w:sz w:val="18"/>
        </w:rPr>
        <w:t>users</w:t>
      </w:r>
      <w:r>
        <w:t xml:space="preserve">. O evento </w:t>
      </w:r>
      <w:r>
        <w:rPr>
          <w:rFonts w:ascii="Courier New" w:hAnsi="Courier New"/>
          <w:color w:val="646464"/>
          <w:sz w:val="18"/>
        </w:rPr>
        <w:t>order_placed</w:t>
      </w:r>
      <w:r>
        <w:t xml:space="preserve"> não existe no clickstream — é injectado sinteticamente via UNION ALL sobre </w:t>
      </w:r>
      <w:r>
        <w:rPr>
          <w:rFonts w:ascii="Courier New" w:hAnsi="Courier New"/>
          <w:color w:val="646464"/>
          <w:sz w:val="18"/>
        </w:rPr>
        <w:t>fact_sales</w:t>
      </w:r>
      <w:r>
        <w:t>, contribuindo com um registo por ordem concluída. Responde a RF3.1 (análise do funil), RF3.2 (preferências de dispositivo), RF3.3 (padrões de navegação por hora) e RF3.4 (categorias mais exploradas).</w:t>
      </w:r>
    </w:p>
    <w:p>
      <w:pPr>
        <w:spacing w:after="120"/>
      </w:pPr>
      <w:r>
        <w:rPr>
          <w:b/>
        </w:rPr>
        <w:t>vw_reviews</w:t>
      </w:r>
      <w:r>
        <w:t xml:space="preserve"> — Perfil: Gestor de Customer Experience (RF4.1–RF4.4)</w:t>
      </w:r>
    </w:p>
    <w:p>
      <w:pPr>
        <w:spacing w:after="120"/>
      </w:pPr>
      <w:r>
        <w:t xml:space="preserve">Agrega as avaliações por combinação de (data, sentimento, categoria, região), expondo </w:t>
      </w:r>
      <w:r>
        <w:rPr>
          <w:rFonts w:ascii="Courier New" w:hAnsi="Courier New"/>
          <w:color w:val="646464"/>
          <w:sz w:val="18"/>
        </w:rPr>
        <w:t>review_count</w:t>
      </w:r>
      <w:r>
        <w:t xml:space="preserve">, </w:t>
      </w:r>
      <w:r>
        <w:rPr>
          <w:rFonts w:ascii="Courier New" w:hAnsi="Courier New"/>
          <w:color w:val="646464"/>
          <w:sz w:val="18"/>
        </w:rPr>
        <w:t>avg_rating</w:t>
      </w:r>
      <w:r>
        <w:t xml:space="preserve"> e </w:t>
      </w:r>
      <w:r>
        <w:rPr>
          <w:rFonts w:ascii="Courier New" w:hAnsi="Courier New"/>
          <w:color w:val="646464"/>
          <w:sz w:val="18"/>
        </w:rPr>
        <w:t>avg_text_length</w:t>
      </w:r>
      <w:r>
        <w:t xml:space="preserve">. Os joins de categoria e geografia são feitos directamente sobre os campos </w:t>
      </w:r>
      <w:r>
        <w:rPr>
          <w:rFonts w:ascii="Courier New" w:hAnsi="Courier New"/>
          <w:color w:val="646464"/>
          <w:sz w:val="18"/>
        </w:rPr>
        <w:t>category_id</w:t>
      </w:r>
      <w:r>
        <w:t xml:space="preserve"> e </w:t>
      </w:r>
      <w:r>
        <w:rPr>
          <w:rFonts w:ascii="Courier New" w:hAnsi="Courier New"/>
          <w:color w:val="646464"/>
          <w:sz w:val="18"/>
        </w:rPr>
        <w:t>geo_id</w:t>
      </w:r>
      <w:r>
        <w:t xml:space="preserve"> de </w:t>
      </w:r>
      <w:r>
        <w:rPr>
          <w:rFonts w:ascii="Courier New" w:hAnsi="Courier New"/>
          <w:color w:val="646464"/>
          <w:sz w:val="18"/>
        </w:rPr>
        <w:t>fact_reviews</w:t>
      </w:r>
      <w:r>
        <w:t xml:space="preserve"> — o </w:t>
      </w:r>
      <w:r>
        <w:rPr>
          <w:rFonts w:ascii="Courier New" w:hAnsi="Courier New"/>
          <w:color w:val="646464"/>
          <w:sz w:val="18"/>
        </w:rPr>
        <w:t>geo_id</w:t>
      </w:r>
      <w:r>
        <w:t xml:space="preserve"> é resolvido em </w:t>
      </w:r>
      <w:r>
        <w:rPr>
          <w:rFonts w:ascii="Courier New" w:hAnsi="Courier New"/>
          <w:color w:val="646464"/>
          <w:sz w:val="18"/>
        </w:rPr>
        <w:t>gold_reviews.py</w:t>
      </w:r>
      <w:r>
        <w:t xml:space="preserve"> por join com </w:t>
      </w:r>
      <w:r>
        <w:rPr>
          <w:rFonts w:ascii="Courier New" w:hAnsi="Courier New"/>
          <w:color w:val="646464"/>
          <w:sz w:val="18"/>
        </w:rPr>
        <w:t>silver.orders</w:t>
      </w:r>
      <w:r>
        <w:t xml:space="preserve">, pelo que a vista não necessita de atravessar </w:t>
      </w:r>
      <w:r>
        <w:rPr>
          <w:rFonts w:ascii="Courier New" w:hAnsi="Courier New"/>
          <w:color w:val="646464"/>
          <w:sz w:val="18"/>
        </w:rPr>
        <w:t>fact_sales</w:t>
      </w:r>
      <w:r>
        <w:t xml:space="preserve"> para obter a geografia. Responde a RF4.1 (volume e rating médio por categoria), RF4.2 (evolução do sentimento), RF4.3 (categorias com pior satisfação) e RF4.4 (distribuição geográfica das avaliações).</w:t>
      </w:r>
    </w:p>
    <w:p>
      <w:pPr>
        <w:spacing w:after="120"/>
      </w:pPr>
      <w:r>
        <w:rPr>
          <w:b/>
        </w:rPr>
        <w:t>vw_trends</w:t>
      </w:r>
      <w:r>
        <w:t xml:space="preserve"> — Perfil: Analista de Tendências (RF5.1–RF5.3)</w:t>
      </w:r>
    </w:p>
    <w:p>
      <w:pPr>
        <w:spacing w:after="120"/>
      </w:pPr>
      <w:r>
        <w:t>Agrega os dados diariamente ao nível global, calculando a taxa de crescimento week-over-week (WoW) de receita e pedidos, a aceleração da procura (variação da taxa de crescimento entre semanas consecutivas) e uma flag de anomalia para dias com desvio superior a 2σ da média calculada sobre uma janela histórica de 60 dias (</w:t>
      </w:r>
      <w:r>
        <w:rPr>
          <w:rFonts w:ascii="Courier New" w:hAnsi="Courier New"/>
          <w:color w:val="646464"/>
          <w:sz w:val="18"/>
        </w:rPr>
        <w:t>ROWS BETWEEN 59 PRECEDING AND CURRENT ROW</w:t>
      </w:r>
      <w:r>
        <w:t>). Janela de consulta: 60 dias.</w:t>
      </w:r>
    </w:p>
    <w:p>
      <w:pPr>
        <w:spacing w:after="120"/>
      </w:pPr>
      <w:r>
        <w:rPr>
          <w:b/>
        </w:rPr>
        <w:t>vw_category_trends</w:t>
      </w:r>
      <w:r>
        <w:t xml:space="preserve"> — Perfil: Analista de Tendências (RF5.4)</w:t>
      </w:r>
    </w:p>
    <w:p>
      <w:pPr>
        <w:spacing w:after="120"/>
      </w:pPr>
      <w:r>
        <w:t xml:space="preserve">Fornece as mesmas métricas de crescimento WoW com desagregação por categoria e semana, com uma janela de 30 dias. Complementa </w:t>
      </w:r>
      <w:r>
        <w:rPr>
          <w:rFonts w:ascii="Courier New" w:hAnsi="Courier New"/>
          <w:color w:val="646464"/>
          <w:sz w:val="18"/>
        </w:rPr>
        <w:t>vw_trends</w:t>
      </w:r>
      <w:r>
        <w:t xml:space="preserve"> ao nível de detalhe por categoria exigido por RF5.4.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