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Calibri" w:cs="Calibri" w:eastAsia="Calibri" w:hAnsi="Calibri"/>
          <w:b/>
          <w:bCs/>
          <w:color w:val="EF0021"/>
          <w:spacing w:val="60"/>
          <w:sz w:val="26"/>
          <w:szCs w:val="26"/>
        </w:rPr>
        <w:t xml:space="preserve">AUDITORÍA UX/UI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F2430"/>
          <w:sz w:val="64"/>
          <w:szCs w:val="64"/>
        </w:rPr>
        <w:t xml:space="preserve">Sitio web de Coltanques</w:t>
      </w:r>
    </w:p>
    <w:p>
      <w:pPr>
        <w:pBdr>
          <w:bottom w:val="single" w:color="EF0021" w:sz="24" w:space="6"/>
        </w:pBdr>
        <w:spacing w:after="240"/>
      </w:pPr>
    </w:p>
    <w:p>
      <w:pPr>
        <w:spacing w:after="120"/>
      </w:pPr>
      <w:r>
        <w:rPr>
          <w:rFonts w:ascii="Calibri" w:cs="Calibri" w:eastAsia="Calibri" w:hAnsi="Calibri"/>
          <w:color w:val="5B6270"/>
          <w:sz w:val="30"/>
          <w:szCs w:val="30"/>
        </w:rPr>
        <w:t xml:space="preserve">Resumen ejecutivo, hallazgos priorizados y propuesta preliminar de rediseño</w:t>
      </w:r>
    </w:p>
    <w:p>
      <w:pPr>
        <w:spacing w:after="60" w:before="1600"/>
      </w:pPr>
      <w:r>
        <w:rPr>
          <w:rFonts w:ascii="Calibri" w:cs="Calibri" w:eastAsia="Calibri" w:hAnsi="Calibri"/>
          <w:b/>
          <w:bCs/>
          <w:color w:val="1F2430"/>
          <w:sz w:val="24"/>
          <w:szCs w:val="24"/>
        </w:rPr>
        <w:t xml:space="preserve">www.coltanques.com.co</w:t>
      </w:r>
    </w:p>
    <w:p>
      <w:pPr>
        <w:spacing w:after="60"/>
      </w:pPr>
      <w:r>
        <w:rPr>
          <w:rFonts w:ascii="Calibri" w:cs="Calibri" w:eastAsia="Calibri" w:hAnsi="Calibri"/>
          <w:color w:val="5B6270"/>
          <w:sz w:val="22"/>
          <w:szCs w:val="22"/>
        </w:rPr>
        <w:t xml:space="preserve">Versión 1.0 · 29 de octubre de 2026</w:t>
      </w:r>
    </w:p>
    <w:p>
      <w:pPr>
        <w:spacing w:after="60"/>
      </w:pPr>
      <w:r>
        <w:rPr>
          <w:rFonts w:ascii="Calibri" w:cs="Calibri" w:eastAsia="Calibri" w:hAnsi="Calibri"/>
          <w:color w:val="5B6270"/>
          <w:sz w:val="22"/>
          <w:szCs w:val="22"/>
        </w:rPr>
        <w:t xml:space="preserve">Documento de trabajo editable · Uso interno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cantSplit/>
          <w:tblHeader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encontrará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Resumen ejecutivo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Diagnóstico general, valoración por categoría, hallazgos clave y recomendación central.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Metodología y criterios de evaluación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Alcance, marcos de referencia (heurísticas, WCAG 2.2) y escalas de severidad y prioridad.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Análisis por categoría UX/UI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Ocho categorías: lo que funciona, hallazgos, por qué importa y cómo mejorarlo.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Evidencias visuales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Capturas anotadas de Inicio, Nosotros, Servicios y Carga seca.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Matriz de hallazgos y recomendaciones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Hallazgos con severidad, impacto, esfuerzo y prioridad (P1 a P3).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Propuesta preliminar de mejoras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Principios, navegación, wireframe de Inicio, plantilla de servicio, sistema de diseño y hoja de ruta.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Indicadores sugeridos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KPIs de negocio, usabilidad, accesibilidad, rendimiento y SEO.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Limitaciones y fuentes</w:t>
            </w:r>
          </w:p>
        </w:tc>
        <w:tc>
          <w:tcPr>
            <w:tcW w:type="dxa" w:w="4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Alcance real del análisis y fuentes consultadas.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El sitio de Coltanques proyecta una identidad corporativa reconocible (rojo, negro y blanco; fotografía real de flota y personas) y una estructura de navegación simple. Sin embargo, hoy funciona más como una vitrina institucional que como una herramienta comercial: no ofrece un camino claro para cotizar o contactar, la oferta de servicios se describe con muy poca información, y hay errores visibles y contenido desactualizado que afectan la credibilidad de una empresa que se presenta como la más grande del país en transporte de carga.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El análisis combinó una revisión heurística de cuatro vistas (Inicio, Nosotros, Servicios y Carga seca), mediciones de contraste tomadas de las capturas, una revisión de los metadatos de la página de inicio y fuentes públicas. Se identificaron 40 hallazgos: 1 crítico, 15 de severidad alta, 18 media y 6 baja; 13 se priorizan para los primeros 30 días (P1).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Valoración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cantSplit/>
          <w:tblHeader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Valoración heurística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Síntesis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Arquitectura de información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 / 5 · Aceptable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Estructura simple, pero taxonomía de servicios inconsistente y sin elementos de confianza.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Navegación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 / 5 · Aceptable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Menú comprensible; header inconsistente, sin migas de pan y con ticker que compite con la marca.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Usabilidad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 / 5 · Deficiente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Tarjetas sin descripción ni acción, duplicados visibles y grandes vacíos.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 / 5 · Deficiente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Texto en imágenes y contrastes insuficientes; pruebas de teclado y movimiento pendientes.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Llamadas a la acción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 / 5 · Crítico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No existe CTA comercial visible; el contacto está oculto en un menú.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Diseño visual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 / 5 · Aceptable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Identidad sólida; falta consistencia de componentes y jerarquía comercial.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Contenido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 / 5 · Deficiente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Mensaje genérico, promesa sin evidencia y datos desactualizados (2025).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Aspectos técnicos</w:t>
            </w:r>
          </w:p>
        </w:tc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Parcial · sin medición</w:t>
            </w:r>
          </w:p>
        </w:tc>
        <w:tc>
          <w:tcPr>
            <w:tcW w:type="dxa" w:w="46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Indicios de renderizado en cliente y de codificación incorrecta; falta medir rendimiento y móvil.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Escala heurística: 1 = crítico, 3 = aceptable, 5 = excelente. Es una valoración experta basada en el material disponible, no una medición con usuarios.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Cinco hallazgos que más pesan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Sin ruta comercial (CTA-01 a CTA-04).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Ninguna vista revisada muestra "Cotizar", teléfono o WhatsApp; el contacto queda dentro de un desplegable.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Credibilidad dañada por errores visibles (US-02, CO-03, US-04).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Etiquetas duplicadas en Carga seca, visión "para el 2025", copyright 2025 y zonas en blanco.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Servicios poco explicados (US-01, AI-01, AI-04).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Tarjetas con solo icono y título; taxonomía mezclada; "Certificaciones" sin contenido.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Accesibilidad por debajo del nivel esperado (AC-01 a AC-05).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Texto incrustado en imagen, contrastes bajos y componentes sin verificar con teclado.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Promesa sin evidencia (CO-01, CO-02).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Falta respaldar "la más grande del país" con cifras, cobertura, clientes y casos.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Recomendación central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Ejecutar primero un paquete de correcciones rápidas (0–30 días) que elimine los errores visibles y abra un canal de cotización, y en paralelo preparar un rediseño por fases: nueva arquitectura de servicios, plantilla de página de servicio con prueba social y conversión, y un sistema de diseño accesible (WCAG 2.2 AA). Las secciones 5 y 6 detallan la priorización y la propuesta.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2. Metodología y criterios de evaluación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2.1 Alcance y materiales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Vistas analizadas: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Inicio, Nosotros, Servicios y Servicios › Carga seca (capturas de escritorio aportadas por el equipo).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Consulta técnica: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extracción de la página de inicio (metadatos y encabezados de respuesta). Las rutas internas y el contenido de cuerpo no pudieron obtenerse de forma automática.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Medición: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contraste calculado a partir de los píxeles de las capturas (fórmula de relación de luminancia de WCAG).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Fuentes públicas: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prensa sectorial para contrastar la propuesta de valor (ver sección 8).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2.2 Marcos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en esta auditoría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10 heurísticas de usabilidad (Nielsen)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Visibilidad del estado, consistencia, prevención de errores, reconocimiento antes que recuerdo, estética y diseño minimalista.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WCAG 2.2, nivel AA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Criterios pertinentes: 1.1.1, 1.4.3, 1.4.5, 1.4.11, 2.2.2, 2.4.2, 2.4.7, 2.4.11 (nuevo), 2.5.8 (nuevo), 3.1.1.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Buenas prácticas de arquitectura de información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Taxonomías mutuamente excluyentes, etiquetas predecibles, profundidad y migas de pan.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Conversión B2B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CTA visibles, canales de contacto, prueba social y mensajes basados en beneficios.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67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Umbrales de referencia para el plan de medición: LCP ≤ 2,5 s, INP ≤ 200 ms, CLS ≤ 0,1.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2.3 Escalas de severidad, esfuerzo y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60"/>
      </w:tblGrid>
      <w:tr>
        <w:trPr>
          <w:cantSplit/>
          <w:tblHeader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B000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Crítica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Impide o bloquea un objetivo de negocio principal.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No hay forma visible de cotizar.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Causa errores graves, pérdida de credibilidad o incumple criterios WCAG AA.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Texto en imagen; contraste 1,6:1.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Genera fricción o inconsistencia, con alternativa disponible.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Header cambia entre vistas.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Mejora de pulido o riesgo menor.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Tarjeta huérfana en la rejilla.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Ahora (0–30 días): corrección rápida y de alto impacto.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Botón "Cotizar", corregir duplicados.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Siguiente (30–90 días): requiere diseño y contenido.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Plantilla de página de servicio.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4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Rediseño (90+ días): cambios estructurales o técnicos.</w:t>
            </w:r>
          </w:p>
        </w:tc>
        <w:tc>
          <w:tcPr>
            <w:tcW w:type="dxa" w:w="35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Render en servidor, sistema de diseño.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Esfuerzo: Bajo (≤ 1 sprint), Medio (1–3 sprints), Alto (&gt; 3 sprints o depende de arquitectura técnica). Estimaciones orientativas.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3. Análisis por categoría UX/UI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Cada categoría resume lo que funciona, los hallazgos clave, por qué importan y cómo mejorarlos. Los identificadores (por ejemplo, CTA-01) se corresponden con la matriz de la sección 5.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3.1 Arquitectura de información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3 / 5 · Aceptable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Estructura de primer nivel corta y comprensible (Nosotros, Servicios, Nuestra flota, Trabaja con nosotros, Contáctanos).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Nosotros ordena bien historia, misión, visión y pilares.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AI-01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Servicios mezcla tipo de carga, servicio y geografía en el mismo nivel.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AI-02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Carga seca combina modalidad, tipo de carga y sector.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AI-03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Servicios repite la Inicio sin valor añadido.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AI-04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Faltan clientes, casos, cifras, cobertura y certificaciones.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Una taxonomía con criterios mezclados obliga al usuario a adivinar dónde está su necesidad y debilita el SEO por contenidos solapados.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Definir un modelo principal y un eje secundario: por ejemplo, Servicios (Transporte, Logística, Internacional) e Industrias (Construcción, Alimentos y bebidas, Energía, Agroindustria).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Validar con card sorting y tree testing antes de fijar etiquetas.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Convertir "Servicios" en un hub con descripciones y rutas hacia cada industria.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3.2 Navegación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3 / 5 · Aceptable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Menú horizontal claro, con ítem activo resaltado en rojo en Servicios y Nosotros.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Hay interruptor de modo oscuro, algo poco común y valioso.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NAV-01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Submenús no previsibles desde su etiqueta; sin énfasis en la conversión.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NAV-02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La barra roja (redes e "Ingresar") aparece y desaparece entre vistas.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NAV-03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Sin migas de pan en páginas de segundo nivel.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NAV-04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El ticker financiero queda cortado y compite con la marca.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Un header estable y predecible reduce la carga cognitiva; el ticker ocupa el espacio de mayor jerarquía con datos que rara vez ayudan a decidir una contratación.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Header único con estados definidos (normal y compacto) y "Cotizar" como botón.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Breadcrumb y marcado del ítem activo en todos los niveles.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Reubicar o hacer opcional el ticker y añadir control de pausa si se anima.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3.3 Usabilidad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2 / 5 · Deficiente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Rótulos breves y fáciles de leer; iconografía lineal coherente.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Carga seca incluye ejemplos concretos de mercancías (hierro, acero, azúcar, cerveza, harina…), un buen recurso para el usuario.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US-01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Tarjetas de servicio sin descripción ni indicación de acción.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US-02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Etiqueta e icono duplicados en Contenedor, Masivo y Distribución.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US-04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Grandes vacíos en blanco que parecen contenido sin cargar.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US-05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Línea de tiempo con 7 puntos sin etiqueta y texto dentro de la imagen.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US-03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Tarjeta huérfana en la rejilla 3+3+1.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Los errores visibles generan desconfianza inmediata, y una tarjeta que no explica su contenido aumenta el costo de interacción (clic "a ciegas").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Corregir el componente de tarjeta y añadir pruebas visuales en QA.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Descripción de una línea y enlace explícito con estados hover/foco.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Revisar carga diferida y alturas mínimas para eliminar vacíos.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Rediseñar la línea de tiempo con fechas visibles y navegación anterior/siguiente.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3.4 Accesibilidad (WCAG 2.2)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2 / 5 · Deficiente (parcial)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Tipografía sans-serif limpia y titulares con buen tamaño.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El título de página y la estructura general permiten un buen punto de partida.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AC-01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Texto incrustado en imagen en Historia (1.1.1, 1.4.5).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AC-02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Contrastes insuficientes: versión del footer ≈ 1,6:1; verde del ticker ≈ 3,4:1; blanco sobre rojo de marca ≈ 4,5:1.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AC-03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Texto pequeño sobre fotos y tarjetas translúcidas (Carga seca, Pilares).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AC-04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Bordes de tarjeta ≈ 2,5:1.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AC-05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Por verificar: pausa de movimiento, foco, objetivos táctiles y etiquetas de iconos flotantes.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Un sitio corporativo con más de 400 colaboradores y clientes diversos debe ser usable con teclado, lector de pantalla y baja visión; además, el texto en imágenes y el bajo contraste afectan a todos los usuarios en pantallas pequeñas o con brillo.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Todo texto informativo en HTML real, mínimo 16 px, contraste ≥ 4,5:1 (3:1 en texto grande y componentes).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Superficies sólidas detrás del texto sobre fotografía.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Auditoría con teclado, axe/WAVE y lector de pantalla; corregir hallazgos y documentar una declaración de accesibilidad.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Control de pausa y respeto a "reducir movimiento" para video y ticker.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3.5 Llamadas a la acción y oportunidades comerciales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1 / 5 · Crítico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Botón rojo con icono, coherente con la marca y de buen tamaño.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Las redes sociales y "Ingresar" ocupan un lugar reconocible (cuando la barra roja está visible).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CTA-01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No hay CTA comercial en las cuatro vistas.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CTA-02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"Conoce más" y "Volver a servicios" son CTA de navegación.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CTA-03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Las páginas de servicio no cierran con formulario ni asesor.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CTA-04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"Contáctanos" en desplegable; footer sin datos de contacto.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CTA-05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Sin segmentación por audiencia; "Ingresar" ambiguo.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Es la categoría con mayor impacto en negocio: el visitante con intención de compra no encuentra cómo avanzar y se pierde el lead.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Botón "Cotizar" persistente en header; CTA primario y secundario en el hero ("Solicitar cotización" y "Hablar con un asesor").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Bloque de cierre en cada página de servicio con formulario de 3–4 campos y tiempo de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Canales directos (teléfono, WhatsApp) y footer con sedes.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Rutas diferenciadas para clientes, candidatos y proveedores.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3.6 Diseño visual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3 / 5 · Aceptable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Identidad cromática fuerte y consistente con el logo (rojo #EF0021 muestreado, negro y blanco).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Fotografía real de flota y colaboradores que transmite escala y cercanía.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Iconografía lineal coherente en tarjetas.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DV-01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Hero con video de carretera: la flota casi no se ve.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DV-02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Tres capas antes del contenido (ticker, barra roja, header).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DV-03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Tres lenguajes de tarjeta distintos.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DV-04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Tarjetas con apariencia de wireframe.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DV-05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Footer prácticamente vacío.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 consistencia de componentes y una jerarquía clara comunican profesionalismo y reducen el esfuerzo de lectura.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Sistema de diseño base con tokens de color, tipografía y espaciado y un único componente de tarjeta con variantes.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Hero con flota y personas reales, titular contundente y dos CTA.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Footer completo con contacto, sedes, enlaces y políticas.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3.7 Contenido y propuesta de valor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2 / 5 · Deficiente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Misión, visión y pilares están bien estructurados y con frases clave destacadas.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Carga seca enumera mercancías de forma concreta.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 afirmación de liderazgo cuenta con respaldo externo en prensa sectorial (ver sección 8).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Promesa de liderazgo sin cifras ni fuente en la página.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Mensajes genéricos sin beneficios concretos.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Visión "para el 2025" y copyright 2025 en 2026.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Errores de redacción.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Narrativa histórica por validar (1974, "50 años", 1986).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CO-06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Palabras clave que prometen servicios no visibles.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En B2B la confianza se construye con evidencia y datos vigentes; el contenido desactualizado transmite descuido justo donde la empresa quiere mostrar liderazgo.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Respaldar la promesa con cifras validadas internamente (empleos, toneladas, flota, cobertura) y su año.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Reescribir mensajes con beneficios y prueba; guía editorial y revisión ortográfica.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Actualizar visión y copyright; validar la cronología oficial.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Alinear texto y SEO con los servicios que realmente se ofrecen.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3.8 Aspectos técnicos (verificación parcial)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Valoración: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Parcial · sin medición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Lo que funciona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Existen meta description y meta viewport.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Se ofrece modo oscuro.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Hallazgos principales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TE-01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La respuesta HTML de la Inicio solo entregó metadatos: indicio de render en el navegador.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TE-02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Codificación declarada ISO-8859-1 con caracteres corruptos en la descripción.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TE-03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Keywords obsoletas; sin Open Graph ni canonical observados.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TE-04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Rendimiento no medido (video, imágenes, fuentes).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EF0021"/>
          <w:sz w:val="22"/>
          <w:szCs w:val="22"/>
        </w:rPr>
        <w:t xml:space="preserve">TE-05 ·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Móvil no verificado; versión visible en el footer.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Por qué importa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El render en cliente puede afectar a SEO y tiempos de carga percibidos; la codificación incorrecta daña vistas previas y fragmentos con tildes.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Cómo mejorarlo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Medir con Lighthouse, PageSpeed y Search Console para fijar línea base.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Declarar UTF-8 en encabezado HTTP y en meta charset.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Evaluar render en servidor o generación estática para páginas públicas.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Optimizar video e imágenes y definir presupuesto de rendimiento.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Pruebas en dispositivos reales (360–414 px).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4. Evidencias visuales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Las capturas fueron anotadas con marcadores azules numerados. Cada marcador corresponde a uno o más hallazgos de la matriz. Las capturas de Inicio y Nosotros son de página completa a escala reducida.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4.1 Inicio</w:t>
      </w:r>
    </w:p>
    <w:p>
      <w:pPr>
        <w:spacing w:after="60"/>
        <w:jc w:val="center"/>
      </w:pPr>
      <w:r>
        <w:drawing>
          <wp:inline distT="0" distB="0" distL="0" distR="0">
            <wp:extent cx="3810000" cy="4124325"/>
            <wp:effectExtent t="0" r="0" b="0" l="0"/>
            <wp:docPr id="1" name="ev_inicio.png" descr="Evidencia visual anotada del sitio de Coltanques" title="ev_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Figura 1. Inicio (captura de escritorio, página completa).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Marcador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 (ID del hallazgo)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Ticker financiero en la parte superior, cortado en el borde derecho (NAV-04).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"Contáctanos" como enlace con desplegable, sin énfasis de conversión (CTA-04, NAV-01).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CTA único del hero, "Conoce más", de navegación (CTA-02).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Tarjetas de servicio con solo icono y nombre, borde fino (US-01, DV-04).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Zona en blanco bajo "Certificaciones" (US-04, AI-04).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4.2 Nosotros</w:t>
      </w:r>
    </w:p>
    <w:p>
      <w:pPr>
        <w:spacing w:after="60"/>
        <w:jc w:val="center"/>
      </w:pPr>
      <w:r>
        <w:drawing>
          <wp:inline distT="0" distB="0" distL="0" distR="0">
            <wp:extent cx="2952750" cy="4524375"/>
            <wp:effectExtent t="0" r="0" b="0" l="0"/>
            <wp:docPr id="2" name="ev_nosotros.png" descr="Evidencia visual anotada del sitio de Coltanques" title="ev_nosotr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Figura 2. Nosotros (captura de página completa a escala reducida).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Marcador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 (ID del hallazgo)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Texto del hito incrustado en la imagen, con letra muy pequeña (AC-01).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Línea de tiempo de 7 puntos sin etiqueta; solo el primero activo (US-05).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Espacio en blanco bajo la línea de tiempo (US-04).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Visión con horizonte "2025" (CO-03).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Pilares: texto pequeño sobre tarjetas translúcidas y foto con mucho detalle (AC-03, DV-03).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4.3 Servicios</w:t>
      </w:r>
    </w:p>
    <w:p>
      <w:pPr>
        <w:spacing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3" name="ev_servicios.png" descr="Evidencia visual anotada del sitio de Coltanques" title="ev_servic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Figura 3. Servicios (captura de escritorio).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Marcador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 (ID del hallazgo)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Barra roja con redes e "Ingresar", ausente en otras vistas (NAV-02).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Ticker financiero sobre la barra roja (NAV-04, DV-02).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Cuatro tarjetas sin descripción; mezcla de criterios (US-01, AI-01).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Espacio vacío bajo las tarjetas (US-04).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Texto de versión en rojo oscuro sobre negro, ≈ 1,6:1 (AC-02, TE-05).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6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Título y subtítulo repetidos respecto de la Inicio (AI-03).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4.4 Servicios › Carga seca</w:t>
      </w:r>
    </w:p>
    <w:p>
      <w:pPr>
        <w:spacing w:after="60"/>
        <w:jc w:val="center"/>
      </w:pPr>
      <w:r>
        <w:drawing>
          <wp:inline distT="0" distB="0" distL="0" distR="0">
            <wp:extent cx="5715000" cy="3381375"/>
            <wp:effectExtent t="0" r="0" b="0" l="0"/>
            <wp:docPr id="4" name="ev_cargaseca.png" descr="Evidencia visual anotada del sitio de Coltanques" title="ev_cargase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Figura 4. Carga seca (captura de escritorio).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  <w:tblHeader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Marcador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 (ID del hallazgo)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Error de redacción: "tuberías, tejas láminas" (CO-04).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Icono y etiqueta duplicados en Contenedor, Masivo y Distribución (US-02).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Tarjeta huérfana en rejilla 3+3+1; solapamiento de categorías (US-03, AI-02).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Único botón: "Volver a servicios" (CTA-02, CTA-03).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Tarjetas translúcidas sobre foto con mucho detalle (AC-03, DV-03).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6</w:t>
            </w:r>
          </w:p>
        </w:tc>
        <w:tc>
          <w:tcPr>
            <w:tcW w:type="dxa" w:w="816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Header sin barra roja, distinto de Servicios y Nosotros (NAV-02).</w:t>
            </w:r>
          </w:p>
        </w:tc>
      </w:tr>
    </w:tbl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300" w:right="1273" w:bottom="1200" w:left="1273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5. Matriz de hallazgos y recomendaciones priorizadas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Ordenada por prioridad (P1 a P3) y severidad. Las prioridades combinan impacto en el usuario y en el negocio con el esfuerzo estimado.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3200"/>
        <w:gridCol w:w="1000"/>
        <w:gridCol w:w="2300"/>
        <w:gridCol w:w="900"/>
        <w:gridCol w:w="700"/>
        <w:gridCol w:w="3530"/>
      </w:tblGrid>
      <w:tr>
        <w:trPr>
          <w:cantSplit/>
          <w:tblHeader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CTA-01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hay un CTA comercial primario (Cotizar / Solicitar contacto / WhatsApp / teléfono) en ninguna de las 4 vistas revisadas.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B000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Crítica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Se pierden oportunidades de negocio de visitantes con intención de compra.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Agregar botón "Cotizar" persistente en el header y CTA primario/secundario en el hero y en cada página de servicio.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CTA-02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Los CTA existentes son de navegación ("Conoce más", "Volver a servicios"), no de conversión. En Carga seca el único botón lleva de regreso.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flujo termina sin acción comercial; el usuario "rebota" hacia atrás.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Sustituir/complementar por CTA de conversión con verbos de acción; "Volver" pasa a breadcrumb.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CTA-04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"Contáctanos" está dentro de un menú desplegable con el mismo estilo que los demás enlaces; no se ven datos de contacto en el footer.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canal de contacto es difícil de encontrar y poco visible.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Extraer "Contáctanos/Cotizar" como botón; footer con teléfonos, correo, WhatsApp y sedes.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Las tarjetas de servicio (Inicio, Servicios, Carga seca) solo muestran icono y nombre: sin descripción, beneficio ni indicación de acción.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usuario debe hacer clic "a ciegas"; se reduce la comprensión de la oferta.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Añadir descripción de una línea y enlace explícito ("Ver servicio →"); definir estados hover/foco.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En Carga seca, las tarjetas Contenedor, Masivo y Distribución muestran el icono y la etiqueta duplicados dentro de la misma tarjeta.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Error visible que resta credibilidad y confunde.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Corregir el componente/datos (render duplicado) y agregar prueba visual en QA.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Grandes espacios en blanco: bajo las tarjetas en Servicios, bajo la línea de tiempo en Nosotros y bajo "Certificaciones" en Inicio (sección sin contenido visible).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Parece contenido sin cargar o diseño roto; baja la percepción de calidad.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Verificar carga diferida (lazy-load) y alturas fijas; completar "Certificaciones" o retirarla hasta tener contenido.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En Nosotros › Historia el texto del hito está incrustado en una imagen de letra muy pequeña.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es escalable ni lo lee un lector de pantalla (WCAG 1.1.1, 1.4.5).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Publicar el texto como HTML real y dejar la imagen solo como apoyo con texto alternativo.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Contraste: el texto de versión del footer (≈ #660010 sobre negro) mide ≈ 1,6:1; los deltas positivos del ticker (≈ #00A061 sobre blanco) ≈ 3,4:1; el texto blanco sobre el rojo de marca (#EF0021) ≈ 4,5:1 (en el límite).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Incumple o roza WCAG 1.4.3 (4,5:1 en texto normal) y limita la lectura.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Ajustar a ≥ 4,5:1 (verde más oscuro, versión en gris claro o retirada; rojo de marca ligeramente más oscuro en botones con texto pequeño).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promesa central ("la empresa de transporte de carga más grande del país") no se sustenta en la página con cifras ni fuentes.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Afirmación fuerte sin evidencia; es respaldable con datos propios y terceros.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Respaldar con cifras validadas internamente, año y fuente (ranking/prensa).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 desactualizado: la Visión dice "Para el 2025 seremos…" y el copyright indica 2025, estando en 2026.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Daña la credibilidad y sugiere abandono del sitio.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Actualizar visión (horizonte vigente) y copyright dinámico.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DV-05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Diseño visual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Footer negro casi vacío (copyright y logo) con un texto de versión ilegible.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Se desaprovecha un punto clásico de búsqueda de contacto.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Footer completo (contacto, sedes, enlaces, redes, políticas, PQRS).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respuesta declara codificación ISO-8859-1 y la descripción aparece con caracteres corruptos ("mÃ¡s", "paÃ­s"), sugiriendo desajuste con UTF-8.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Vistas previas y fragmentos en buscadores con tildes dañadas. Por confirmar en navegador.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Declarar UTF-8 en el encabezado HTTP y en meta charset.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Errores de redacción: "tuberías, tejas láminas" (falta coma) y frase poco clara "Trabajamos el nivel de satisfacción del cliente…".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Resta profesionalismo.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Revisión editorial y guía de estilo.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CTA-03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Las páginas de servicio no cierran con formulario corto ni contacto del equipo comercial.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Sin punto de captura de leads en la fase de mayor interés.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Plantilla de servicio con bloque final "¿Qué necesita mover?" (3–4 campos) y asesor por tipo de carga.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AI-01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Arq. de información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Los 4 servicios principales mezclan criterios: tipo de carga (seca, líquida), servicio (almacenamiento) y geografía (Transporte Ecuador).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Taxonomía poco clara; el usuario no sabe dónde buscar su necesidad.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Definir modelo único (p. ej., Transporte / Logística / Internacional) con Ecuador como cobertura.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AI-04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Arq. de información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Faltan elementos de confianza esperables en un sitio corporativo B2B: clientes, casos de éxito, cifras, cobertura y certificaciones (esta última aparece vacía).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propuesta de valor no se respalda con evidencia.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Incorporar bloques de cifras, certificaciones, clientes y casos (ver propuesta).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Texto sobre fotografías: tarjetas translúcidas de Carga seca y descripciones de "Pilares" (Nosotros) en gris pequeño sobre tarjetas semitransparentes y foto con mucho detalle.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Legibilidad variable según la zona de la foto (WCAG 1.4.3, 1.4.11).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Superficies sólidas o gradiente de contraste garantizado detrás del texto; tamaño mínimo de 16 px para cuerpo.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Mensajes genéricos ("mejor aliado logístico", "cultura de servicio") sin beneficios concretos (cobertura, tiempos, seguridad, trazabilidad).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diferencia frente a competidores.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Reescribir propuesta de valor orientada a beneficios y prueba.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CTA-05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hay segmentación por audiencia (clientes, candidatos, proveedores, empleados); "Ingresar" no indica a qué portal lleva.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Mezcla de públicos con necesidades distintas; fricción en el acceso.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Etiquetas claras ("Portal clientes", "Portal conductores"…) y rutas diferenciadas.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Línea de tiempo "Historia": 7 puntos sin etiqueta, solo el primero activo; el contenido de cada hito vive dentro de una imagen.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Baja descubribilidad; difícil de operar con teclado o lector de pantalla.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Rediseñar como componente con fechas visibles, texto real, botones anterior/siguiente y teclado.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NAV-01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Navegación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Cinco ítems con tres desplegables; la cantidad es adecuada, pero el contenido de los submenús no es previsible desde la etiqueta y el menú no resalta la conversión.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Riesgo de navegación por ensayo y error.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Validar con card sorting/tree testing; submenús cortos con descripciones.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NAV-02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Navegación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header cambia entre vistas: la barra roja (redes + "Ingresar") aparece en Servicios y Nosotros, pero no en Inicio ni Carga seca.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Inconsistencia que desorienta; el acceso "Ingresar" desaparece.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Un único header con estados definidos (normal/compacto al hacer scroll) y utilidades siempre accesibles.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NAV-03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Navegación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hay migas de pan en páginas de segundo nivel (Servicios › Carga seca).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Cuesta saber dónde se está y volver a un nivel intermedio.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Incluir breadcrumb y marcar el ítem activo del menú.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NAV-04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Navegación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ticker financiero (TRM, COLCAP, WTI, café, oro…) ocupa la parte superior, queda cortado en el borde ("TASA DE US…") y compite con la marca y el menú.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Ruido de información poco relacionada con la decisión de compra; menos espacio útil.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Moverlo a una sección secundaria o hacerlo opcional; si se mantiene, ajustar tamaño y control de pausa.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AI-02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Arq. de información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Subcategorías de Carga seca mezclan modalidad (Contenedor, Masivo, Granel, Distribución), tipo de carga (Extradimensionada, Materiales de construcción) y sector (Servicios petroleros).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Solapamiento entre categorías; "materiales de construcción" también aparece en el texto introductorio.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Separar "por modalidad" y "por industria"; evitar categorías que se superponen.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AI-03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Arq. de información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página Servicios repite el bloque de la Inicio (mismo título, subtítulo y tarjetas) sin aportar más información.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 redundante; pierde valor como página de destino.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Convertirla en hub con descripciones, industrias y comparativa de servicios.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Por verificar: ticker y video del hero en movimiento sin control de pausa visible (WCAG 2.2.2); foco visible y no oculto por header fijo (2.4.7, 2.4.11); tamaño de objetivos como puntos del timeline e iconos flotantes (2.5.8); iconos flotantes sin nombre visible.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Riesgos de uso con teclado, movimiento y dispositivos táctiles.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Auditoría con teclado, axe/WAVE y lector de pantalla; añadir pausa y "reducir movimiento".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DV-02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Diseño visual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Hasta tres capas antes del contenido (ticker, barra roja, header) más insignia "50 años".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Reduce el área útil en pantallas pequeñas.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Consolidar capas; utilidades en una sola barra delgada.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DV-04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Diseño visual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Tarjetas de servicio con apariencia de "wireframe": icono pequeño, borde fino y mucho espacio vacío; poco peso visual frente a su importancia comercial.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oferta principal no destaca.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Iconos mayores, imagen o ilustración de apoyo, jerarquía tipográfica y CTA.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Consistencia de la narrativa histórica: el texto de Nosotros habla de fundación en 1974 mientras la insignia y la prensa se refieren a "50 años" y a hitos de 1986.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Posible confusión sobre la trayectoria real.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Validar fechas oficiales y actualizar insignia/timeline.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Riesgos de rendimiento por medir: video de hero, fotografías de gran formato y fuentes web. No hay mediciones en esta auditoría.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Impacto potencial en LCP e INP, sobre todo en móvil.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Póster y precarga mínima del video, imágenes responsivas AVIF/WebP, presupuesto de rendimiento.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AC-06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El título de la Inicio es genérico ("Coltanques | Sitio Oficial"). No se pudo confirmar el idioma declarado ni los títulos de páginas internas.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Poco descriptivo para navegación, pestañas y buscadores (WCAG 2.4.2, 3.1.1).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Títulos únicos por página (Servicio | Marca) y atributo lang="es".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Metadatos: hay description y viewport, pero la meta "keywords" es obsoleta y no se observaron Open Graph ni canonical en la extracción.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Menor calidad al compartir enlaces y en buscadores.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C9C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P2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Añadir Open Graph/Twitter Cards, canonical y datos estructurados (Organization).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 respuesta HTML de la Inicio solo entregó metadatos (sin contenido de cuerpo), lo que es consistente con un sitio renderizado en el navegador (SPA).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7C6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0010"/>
                <w:sz w:val="19"/>
                <w:szCs w:val="19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Riesgo para SEO, tiempos de carga percibidos y acceso sin JavaScript. Por confirmar.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Alto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Medir con Lighthouse/Search Console; evaluar render en servidor o generación estática.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DV-01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Diseño visual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Hero con video aéreo de carretera: la flota y la marca casi no aparecen; titular centrado y de tamaño moderado sobre imagen en movimiento.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Se desaprovecha el espacio de mayor visibilidad para diferenciar.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Hero con flota/personas reales, titular más contundente, subtítulo con dato y dos CTA.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DV-03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Diseño visual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Tres lenguajes de tarjeta distintos: borde rojo fino (Servicios), translúcidas con borde blanco sobre foto (Carga seca) y con cinta roja y sombra (Pilares).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Inconsistencia; falta de sistema de diseño.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Definir componente de tarjeta único con variantes documentadas.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CO-06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Contenido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Las palabras clave del sitio mencionan refrigerado, mercancías peligrosas, carga pesada y comercio internacional, pero la oferta visible no los destaca.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3F00"/>
                <w:sz w:val="19"/>
                <w:szCs w:val="19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Desalineación entre lo que se promete a buscadores y lo que se muestra.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Medio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Alinear arquitectura y copy con servicios reales; retirar lo que no se ofrece.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US-03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Usabilidad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Rejilla 3+3+1 en Carga seca: "Materiales de construcción" queda huérfana y centrada.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Desequilibrio visual; apariencia de contenido incompleto.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Reagrupar (3+3+2 o 4+4) o reordenar la taxonomía.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AC-04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Los bordes de las tarjetas de servicio (≈ #F5837B sobre blanco) miden ≈ 2,5:1.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Si el borde es lo que delimita el control, queda bajo el 3:1 de WCAG 1.4.11.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Subir el contraste del borde o añadir indicador adicional (flecha/enlace).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TE-05</w:t>
            </w:r>
          </w:p>
        </w:tc>
        <w:tc>
          <w:tcPr>
            <w:tcW w:type="dxa" w:w="125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Técnico</w:t>
            </w:r>
          </w:p>
        </w:tc>
        <w:tc>
          <w:tcPr>
            <w:tcW w:type="dxa" w:w="3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No se verificó la versión móvil; la versión (v1.1.3) y detalles de desarrollo son visibles en el footer.</w:t>
            </w:r>
          </w:p>
        </w:tc>
        <w:tc>
          <w:tcPr>
            <w:tcW w:type="dxa" w:w="1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DC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Baja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Riesgo desconocido en móvil; ruido en producción.</w:t>
            </w:r>
          </w:p>
        </w:tc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Bajo</w:t>
            </w:r>
          </w:p>
        </w:tc>
        <w:tc>
          <w:tcPr>
            <w:tcW w:type="dxa" w:w="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EEF0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P3</w:t>
            </w:r>
          </w:p>
        </w:tc>
        <w:tc>
          <w:tcPr>
            <w:tcW w:type="dxa" w:w="353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Pruebas en dispositivos reales (360–414 px) y ocultar la versión al público.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Total: 40 hallazgos · P1: 13 · P2: 20 · P3: 7.</w:t>
      </w:r>
    </w:p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6. Propuesta preliminar de mejoras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Esta propuesta es una hipótesis de trabajo para validar con usuarios y con las áreas comercial, de operaciones y de talento. Los datos entre corchetes deben ser provistos y validados por la empresa.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6.1 Principios de rediseño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Conversión primero: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cada página debe ofrecer un siguiente paso claro (cotizar, hablar con un asesor).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Evidencia sobre adjetivos: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cifras, certificaciones, clientes y casos respaldan cada promesa.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Una sola taxonomía: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servicios por modalidad y, aparte, por industria.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Accesible por defecto: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WCAG 2.2 AA en componentes, contraste, teclado y movimiento.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Sistema, no pantallas: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componentes reutilizables y documentados.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Rendimiento como requisito: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presupuesto de rendimiento y medición continua.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6.2 Arquitectura de navegación propuesta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6780"/>
      </w:tblGrid>
      <w:tr>
        <w:trPr>
          <w:cantSplit/>
          <w:tblHeader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 de menú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Servicios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Transporte de carga (seca, líquida, especial) · Logística (almacenamiento, distribución) · Internacional (Ecuador)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Cada servicio con descripción, casos y CTA. Ecuador pasa a ser cobertura.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Industrias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Construcción · Alimentos y bebidas · Energía y petróleo · Agroindustria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Hipótesis a validar con card sorting; evita categorías solapadas.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Flota y cobertura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Tipos de vehículo y capacidad · Mapa de rutas · Trazabilidad y seguridad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Reemplaza "Nuestra flota" con foco en capacidad y garantías.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Nosotros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Historia · Misión y visión · Sostenibilidad y bienestar · Certificaciones · Noticias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Texto real en la línea de tiempo; datos vigentes.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Trabaja con nosotros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Vacantes · Cultura · Proceso de selección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Ruta propia para candidatos.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Cotizar (botón)</w:t>
            </w:r>
          </w:p>
        </w:tc>
        <w:tc>
          <w:tcPr>
            <w:tcW w:type="dxa" w:w="47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Formulario corto + teléfono + WhatsApp</w:t>
            </w:r>
          </w:p>
        </w:tc>
        <w:tc>
          <w:tcPr>
            <w:tcW w:type="dxa" w:w="6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FD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Siempre visible en el header, también en móvil.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6.3 Wireframe de baja fidelidad: Inicio propuesta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El wireframe muestra el orden y la función de cada bloque. No define el diseño visual final.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714750" cy="4772025"/>
                  <wp:effectExtent t="0" r="0" b="0" l="0"/>
                  <wp:docPr id="5" name="wf_top.png" descr="Wireframe de baja fidelidad con bloques numerados" title="Wireframe propuesta de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47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3714750" cy="5248275"/>
                  <wp:effectExtent t="0" r="0" b="0" l="0"/>
                  <wp:docPr id="6" name="wf_bot.png" descr="Wireframe de baja fidelidad con bloques numerados" title="Wireframe propuesta de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524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6270"/>
          <w:sz w:val="18"/>
          <w:szCs w:val="18"/>
        </w:rPr>
        <w:t xml:space="preserve">Figura 5. Wireframe de baja fidelidad de la Inicio propuesta (bloques 1–6 a la izquierda y 7–12 a la derecha).</w:t>
      </w:r>
    </w:p>
    <w:p>
      <w:pPr>
        <w:pStyle w:val="Heading3"/>
        <w:keepNext/>
        <w:pageBreakBefore/>
        <w:spacing w:after="80" w:before="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Función de cada bloque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780"/>
      </w:tblGrid>
      <w:tr>
        <w:trPr>
          <w:cantSplit/>
          <w:tblHeader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Barra utilitaria única: teléfono, WhatsApp, portal de clientes, idioma.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Header con menú simplificado y botón "Cotizar".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Hero: propuesta de valor, dato verificable, dos CTA, video con póster y control de pausa.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Cifras de confianza validadas (empleos, toneladas, años, certificaciones).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Servicios con descripción de una línea y enlace.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6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Industrias atendidas.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7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Flota y cobertura con mapa.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8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Certificaciones y seguridad (con contenido real).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9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Clientes y casos de éxito.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10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Sostenibilidad y bienestar con evidencia.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11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CTA final con formulario de 3 campos.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12</w:t>
            </w:r>
          </w:p>
        </w:tc>
        <w:tc>
          <w:tcPr>
            <w:tcW w:type="dxa" w:w="127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Footer completo: contacto, sedes, enlaces, políticas y PQRS.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6.4 Plantilla de página de servicio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cantSplit/>
          <w:tblHeader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recomendado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Cabecera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Nombre del servicio, breadcrumb y propuesta en una frase con CTA "Cotizar".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Qué transportamos / ofrecemos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Lista concreta de mercancías o escenarios (como ya se hace en Carga seca) en HTML real.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Modalidades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Contenedor, masivo, granel, distribución… con descripción, capacidad y cuándo elegirla.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Garantías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Seguridad, trazabilidad, certificaciones y cobertura aplicables.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Caso de éxito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Reto → solución → resultado, con cliente autorizado.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Plazos, documentos, cobertura, tarifas orientativas.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Cierre de conversión</w:t>
            </w:r>
          </w:p>
        </w:tc>
        <w:tc>
          <w:tcPr>
            <w:tcW w:type="dxa" w:w="10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Formulario corto, asesor asignado y tiempo de respuesta.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6.5 Fundamentos de sistema de diseño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5680"/>
      </w:tblGrid>
      <w:tr>
        <w:trPr>
          <w:cantSplit/>
          <w:tblHeader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Propuesta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accesibilidad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Color de marca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Rojo #EF0021 (muestreado de las capturas; confirmar con el manual de marca), negro, blancos y grises neutros.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Blanco sobre rojo #EF0021 ≈ 4,5:1: usar texto de 16 px en negrita o un rojo ligeramente más oscuro para botones con texto pequeño.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Tipografía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Una sans-serif con escala modular (p. ej., 14/16/20/28/40 px) y cuerpo mínimo de 16 px.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Texto redimensionable hasta 200 % sin pérdida (1.4.4, 1.4.10).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Botones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Primario (relleno rojo), secundario (contorno), terciario (enlace con flecha).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Objetivo táctil ≥ 24 × 24 px (2.5.8), foco visible y no oculto (2.4.7, 2.4.11).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Tarjeta de servicio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Un componente con icono, título, descripción de una línea y enlace.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Borde o superficie con contraste ≥ 3:1; toda la tarjeta es un único enlace.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Hero y multimedia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Foto/video con póster, superficie sólida bajo el texto.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Pausa, respeto a "reducir movimiento"; alternativa textual.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54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Etiquetas visibles, mensajes de error claros y validación en línea.</w:t>
            </w:r>
          </w:p>
        </w:tc>
        <w:tc>
          <w:tcPr>
            <w:tcW w:type="dxa" w:w="56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Etiquetas asociadas, errores identificados (3.3.1, 3.3.2), sin reingreso redundante (3.3.7).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6.6 Hoja de ruta sugerida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480"/>
      </w:tblGrid>
      <w:tr>
        <w:trPr>
          <w:cantSplit/>
          <w:tblHeader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94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Fase 0 · Correcciones rápidas</w:t>
            </w:r>
          </w:p>
        </w:tc>
        <w:tc>
          <w:tcPr>
            <w:tcW w:type="dxa" w:w="2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0–30 días</w:t>
            </w:r>
          </w:p>
        </w:tc>
        <w:tc>
          <w:tcPr>
            <w:tcW w:type="dxa" w:w="94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Botón "Cotizar" y contacto en header y footer; corregir etiquetas duplicadas; actualizar visión y copyright; corregir contrastes; texto real en Historia; UTF-8; revisión editorial; completar o retirar "Certificaciones".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Fase 1 · Estructura y contenido</w:t>
            </w:r>
          </w:p>
        </w:tc>
        <w:tc>
          <w:tcPr>
            <w:tcW w:type="dxa" w:w="2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30–90 días</w:t>
            </w:r>
          </w:p>
        </w:tc>
        <w:tc>
          <w:tcPr>
            <w:tcW w:type="dxa" w:w="94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Nueva taxonomía de servicios y navegación validada; plantilla de página de servicio; cifras, clientes y casos; header unificado; formularios y analítica de eventos.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Fase 2 · Rediseño y plataforma</w:t>
            </w:r>
          </w:p>
        </w:tc>
        <w:tc>
          <w:tcPr>
            <w:tcW w:type="dxa" w:w="20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90–180 días</w:t>
            </w:r>
          </w:p>
        </w:tc>
        <w:tc>
          <w:tcPr>
            <w:tcW w:type="dxa" w:w="94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9"/>
                <w:szCs w:val="19"/>
              </w:rPr>
              <w:t xml:space="preserve">Sistema de diseño accesible; nuevo hero y componentes; evaluación de render en servidor; optimización de rendimiento; pruebas de usabilidad y accesibilidad; versión móvil validada.</w:t>
            </w:r>
          </w:p>
        </w:tc>
      </w:tr>
    </w:tbl>
    <w:p>
      <w:pPr>
        <w:pStyle w:val="Heading1"/>
        <w:keepNext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7. Indicadores sugeridos para medir resultados</w:t>
      </w:r>
    </w:p>
    <w:p>
      <w:pPr>
        <w:spacing w:after="120" w:line="276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Las metas son orientativas y deben calibrarse tras medir la línea base (ideal: 4 semanas antes de implementar cambios). Herramientas de referencia: GA4, Search Console, Lighthouse/PageSpeed, axe, Hotjar o Clarity y pruebas de usabilidad.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2600"/>
        <w:gridCol w:w="2300"/>
        <w:gridCol w:w="3380"/>
      </w:tblGrid>
      <w:tr>
        <w:trPr>
          <w:cantSplit/>
          <w:tblHeader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mide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Cómo medirlo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orientativa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Solicitudes de cotización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Envíos de formulario por cada 100 sesiones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Eventos GA4 (form_submit)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Aumento sostenido frente a la línea base en 6 meses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Clics en CTA y canales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Clics en Cotizar, teléfono y WhatsApp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Eventos GA4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Presencia en ≥ 90 % de páginas con CTA visible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Finalización de formulario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Inicio frente a envío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GA4 / analítica de formularios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Mejora respecto de la línea 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Éxito en tareas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% de usuarios que encuentra un servicio y cómo cotizar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Pruebas de usabilidad (5–8 personas por ronda)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≥ 85 %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SUS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Percepción de usabilidad (System Usability Scale)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Cuestionario de 10 ítems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≥ 75 (la media ronda 68)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Encontrabilidad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Éxito al ubicar contenidos en la nueva taxonomía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Tree testing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≥ 80 % de aciertos directos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Rendimiento percibido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PageSpeed/CrUX, Search Console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LCP ≤ 2,5 s · INP ≤ 200 ms · CLS ≤ 0,1 (percentil 75)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Accesibilidad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Conformidad WCAG 2.2 AA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axe/WAVE + revisión manual + lector de pantalla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0 incidencias críticas; Lighthouse accesibilidad ≥ 90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SEO orgánico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Impresiones, clics y páginas indexadas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Search Console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Crecimiento en consultas de servicio y marca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Candidatos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Postulaciones desde "Trabaja con nosotros"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Eventos GA4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 medir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Aumento frente a la línea 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9"/>
                <w:szCs w:val="19"/>
              </w:rPr>
              <w:t xml:space="preserve">Calidad de contenido</w:t>
            </w:r>
          </w:p>
        </w:tc>
        <w:tc>
          <w:tcPr>
            <w:tcW w:type="dxa" w:w="3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Páginas con datos vigentes y sin errores</w:t>
            </w:r>
          </w:p>
        </w:tc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Auditoría editorial trimestral</w:t>
            </w:r>
          </w:p>
        </w:tc>
        <w:tc>
          <w:tcPr>
            <w:tcW w:type="dxa" w:w="23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Hallazgos CO-03/CO-04</w:t>
            </w:r>
          </w:p>
        </w:tc>
        <w:tc>
          <w:tcPr>
            <w:tcW w:type="dxa" w:w="338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1F2430"/>
                <w:sz w:val="17"/>
                <w:szCs w:val="17"/>
              </w:rPr>
              <w:t xml:space="preserve">0 contenidos vencidos</w:t>
            </w:r>
          </w:p>
        </w:tc>
      </w:tr>
    </w:tbl>
    <w:p>
      <w:pPr>
        <w:sectPr>
          <w:headerReference w:type="default" r:id="rId10"/>
          <w:footerReference w:type="default" r:id="rId11"/>
          <w:pgSz w:w="16838" w:h="11906" w:orient="landscape"/>
          <w:pgMar w:top="1100" w:right="1080" w:bottom="1000" w:left="1080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0"/>
      </w:pPr>
      <w:r>
        <w:rPr>
          <w:rFonts w:ascii="Calibri" w:cs="Calibri" w:eastAsia="Calibri" w:hAnsi="Calibri"/>
          <w:b/>
          <w:bCs/>
          <w:color w:val="1F2430"/>
          <w:sz w:val="36"/>
          <w:szCs w:val="36"/>
        </w:rPr>
        <w:t xml:space="preserve">8. Limitaciones del análisis y fuentes consultadas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8.1 Limitaciones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 extracción automática de la página de inicio solo devolvió metadatos del HTML; las rutas internas no pudieron consultarse. El análisis visual se basa en cuatro capturas de escritorio suministradas (Inicio, Nosotros, Servicios y Carga seca).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No se revisaron Nuestra flota, Trabaja con nosotros, Contáctanos, los submenús, los formularios, el portal "Ingresar" ni la versión móvil.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No se midió el rendimiento (Lighthouse, Core Web Vitals) ni se probaron interacciones (foco, teclado, hover, lectores de pantalla). Los puntos marcados "por verificar" son hipótesis.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Las capturas de Inicio y Nosotros están a escala reducida; los tamaños de texto en esas vistas no son exactos. Los contrastes se calcularon sobre píxeles de capturas, que pueden estar comprimidas; deben confirmarse con una herramienta sobre el sitio real.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 codificación y el render en cliente se infieren de la respuesta obtenida y pueden deberse al método de extracción; requieren confirmación en el navegador.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Las valoraciones heurísticas son juicio experto y no reemplazan pruebas con usuarios. Las cifras externas no fueron validadas por la empresa.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EF0021"/>
          <w:sz w:val="28"/>
          <w:szCs w:val="28"/>
        </w:rPr>
        <w:t xml:space="preserve">8.2 Fuentes consultadas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Sitio analizado: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https://www.coltanques.com.co (metadatos de la Inicio) y capturas de Inicio, Nosotros, Servicios y Carga seca aportadas por el equipo.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La República (4 de septiembre de 2024):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"Coltanques, Botero Soto y Servientrega, empresas de transporte de carga más grandes" (declaraciones del presidente de Fedetranscarga). https://www.larepublica.co/empresas/empresas-de-transporte-de-carga-mas-grandes-de-colombia-3944386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1F2430"/>
          <w:sz w:val="22"/>
          <w:szCs w:val="22"/>
        </w:rPr>
        <w:t xml:space="preserve">La Nota Económica: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nota sobre el 50 aniversario de Coltanques, con hitos de la compañía (el titular de la URL cita más de 6.000 empleos y 7 millones de toneladas al año; validar con datos internos). https://lanotaeconomica.com.co/movidas-empresarial/coltanques-celebra-50-anos-mas-de-6-000-empleos-y-7-millones-de-toneladas-transportadas-cada-ano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F2430"/>
          <w:sz w:val="23"/>
          <w:szCs w:val="23"/>
        </w:rPr>
        <w:t xml:space="preserve">Marcos de referencia (conocimiento general; no consultados en línea durante esta auditoría)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W3C, Web Content Accessibility Guidelines (WCAG) 2.2.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Nielsen Norman Group, 10 heurísticas de usabilidad.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Google, umbrales de Core Web Vitals (LCP, INP, CLS).</w:t>
      </w:r>
    </w:p>
    <w:sectPr>
      <w:headerReference w:type="default" r:id="rId12"/>
      <w:footerReference w:type="default" r:id="rId13"/>
      <w:pgSz w:w="11906" w:h="16838" w:orient="portrait"/>
      <w:pgMar w:top="13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Documento de trabajo · Uso interno</w:t>
    </w:r>
    <w:r>
      <w:rPr>
        <w:rFonts w:ascii="Calibri" w:cs="Calibri" w:eastAsia="Calibri" w:hAnsi="Calibri"/>
        <w:color w:val="5B6270"/>
        <w:sz w:val="17"/>
        <w:szCs w:val="17"/>
      </w:rPr>
      <w:t xml:space="preserve">	Página </w:t>
    </w:r>
    <w:r>
      <w:rPr>
        <w:rFonts w:ascii="Calibri" w:cs="Calibri" w:eastAsia="Calibri" w:hAnsi="Calibri"/>
        <w:color w:val="5B62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678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Documento de trabajo · Uso interno</w:t>
    </w:r>
    <w:r>
      <w:rPr>
        <w:rFonts w:ascii="Calibri" w:cs="Calibri" w:eastAsia="Calibri" w:hAnsi="Calibri"/>
        <w:color w:val="5B6270"/>
        <w:sz w:val="17"/>
        <w:szCs w:val="17"/>
      </w:rPr>
      <w:t xml:space="preserve">	Página </w:t>
    </w:r>
    <w:r>
      <w:rPr>
        <w:rFonts w:ascii="Calibri" w:cs="Calibri" w:eastAsia="Calibri" w:hAnsi="Calibri"/>
        <w:color w:val="5B62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Documento de trabajo · Uso interno</w:t>
    </w:r>
    <w:r>
      <w:rPr>
        <w:rFonts w:ascii="Calibri" w:cs="Calibri" w:eastAsia="Calibri" w:hAnsi="Calibri"/>
        <w:color w:val="5B6270"/>
        <w:sz w:val="17"/>
        <w:szCs w:val="17"/>
      </w:rPr>
      <w:t xml:space="preserve">	Página </w:t>
    </w:r>
    <w:r>
      <w:rPr>
        <w:rFonts w:ascii="Calibri" w:cs="Calibri" w:eastAsia="Calibri" w:hAnsi="Calibri"/>
        <w:color w:val="5B62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0021" w:sz="6" w:space="4"/>
      </w:pBdr>
      <w:tabs>
        <w:tab w:val="right" w:pos="9360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Auditoría UX/UI · Coltanques</w:t>
    </w:r>
    <w:r>
      <w:rPr>
        <w:rFonts w:ascii="Calibri" w:cs="Calibri" w:eastAsia="Calibri" w:hAnsi="Calibri"/>
        <w:color w:val="5B6270"/>
        <w:sz w:val="17"/>
        <w:szCs w:val="17"/>
      </w:rPr>
      <w:t xml:space="preserve">	Versión 1.0 · 29 oct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0021" w:sz="6" w:space="4"/>
      </w:pBdr>
      <w:tabs>
        <w:tab w:val="right" w:pos="14678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Auditoría UX/UI · Coltanques</w:t>
    </w:r>
    <w:r>
      <w:rPr>
        <w:rFonts w:ascii="Calibri" w:cs="Calibri" w:eastAsia="Calibri" w:hAnsi="Calibri"/>
        <w:color w:val="5B6270"/>
        <w:sz w:val="17"/>
        <w:szCs w:val="17"/>
      </w:rPr>
      <w:t xml:space="preserve">	Versión 1.0 · 29 oct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0021" w:sz="6" w:space="4"/>
      </w:pBdr>
      <w:tabs>
        <w:tab w:val="right" w:pos="9360"/>
      </w:tabs>
    </w:pPr>
    <w:r>
      <w:rPr>
        <w:rFonts w:ascii="Calibri" w:cs="Calibri" w:eastAsia="Calibri" w:hAnsi="Calibri"/>
        <w:color w:val="5B6270"/>
        <w:sz w:val="17"/>
        <w:szCs w:val="17"/>
      </w:rPr>
      <w:t xml:space="preserve">Auditoría UX/UI · Coltanques</w:t>
    </w:r>
    <w:r>
      <w:rPr>
        <w:rFonts w:ascii="Calibri" w:cs="Calibri" w:eastAsia="Calibri" w:hAnsi="Calibri"/>
        <w:color w:val="5B6270"/>
        <w:sz w:val="17"/>
        <w:szCs w:val="17"/>
      </w:rPr>
      <w:t xml:space="preserve">	Versión 1.0 · 29 oct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24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EF00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image" Target="media/a4f6a481e914ecbdb18838b91f06c29889905cf1.png"/><Relationship Id="rId16" Type="http://schemas.openxmlformats.org/officeDocument/2006/relationships/image" Target="media/6dc3a926b56bcf7c57f5c2d158541ada529bd998.png"/><Relationship Id="rId17" Type="http://schemas.openxmlformats.org/officeDocument/2006/relationships/image" Target="media/e3d44847ff8c3106205f48c1cbad14db814efb4e.png"/><Relationship Id="rId18" Type="http://schemas.openxmlformats.org/officeDocument/2006/relationships/image" Target="media/6c506d5919cbe73390fe916b27f71cd27418e2a5.png"/><Relationship Id="rId19" Type="http://schemas.openxmlformats.org/officeDocument/2006/relationships/image" Target="media/1b528310d774918564f546ae5dd449ab2dd4d974.png"/><Relationship Id="rId20" Type="http://schemas.openxmlformats.org/officeDocument/2006/relationships/image" Target="media/4f2f7eaacc86ef2aa8c2b043a5d86da634ff9e9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UX/UI del sitio web de Coltanques</dc:title>
  <dc:creator>Auditoría UX/UI</dc:creator>
  <cp:lastModifiedBy>Un-named</cp:lastModifiedBy>
  <cp:revision>1</cp:revision>
  <dcterms:created xsi:type="dcterms:W3CDTF">2026-10-29T19:51:06.429Z</dcterms:created>
  <dcterms:modified xsi:type="dcterms:W3CDTF">2026-10-29T19:51:06.429Z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