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A3A5C"/>
          <w:sz w:val="40"/>
        </w:rPr>
        <w:t>MERIDIAN TECHNOLOGIES</w:t>
      </w:r>
    </w:p>
    <w:p>
      <w:pPr>
        <w:spacing w:after="40"/>
        <w:jc w:val="center"/>
      </w:pPr>
      <w:r>
        <w:rPr>
          <w:rFonts w:ascii="Calibri" w:hAnsi="Calibri"/>
          <w:b w:val="0"/>
          <w:color w:val="2A7F8C"/>
          <w:sz w:val="24"/>
        </w:rPr>
        <w:t>Annual Board Strategic Review  |  CEO Opening Remarks</w:t>
      </w:r>
    </w:p>
    <w:p>
      <w:pPr>
        <w:spacing w:after="280"/>
        <w:jc w:val="center"/>
      </w:pPr>
      <w:r>
        <w:rPr>
          <w:rFonts w:ascii="Calibri" w:hAnsi="Calibri"/>
          <w:b w:val="0"/>
          <w:color w:val="7F8C8D"/>
          <w:sz w:val="20"/>
        </w:rPr>
        <w:t>Catherine Park, President &amp; CEO  |  May 2026  |  5 minutes</w:t>
      </w:r>
    </w:p>
    <w:p>
      <w:pPr>
        <w:spacing w:after="40"/>
      </w:pPr>
    </w:p>
    <w:p>
      <w:pPr>
        <w:spacing w:before="0" w:after="320"/>
        <w:jc w:val="center"/>
      </w:pPr>
      <w:r>
        <w:rPr>
          <w:rFonts w:ascii="Calibri" w:hAnsi="Calibri"/>
          <w:b/>
          <w:i/>
          <w:color w:val="1A3A5C"/>
          <w:sz w:val="26"/>
        </w:rPr>
        <w:t>Our enterprise franchise is the strongest it has ever been — and 2026 is the year we decide whether AI makes us a platform or leaves us a feature.</w:t>
      </w:r>
    </w:p>
    <w:p>
      <w:pPr>
        <w:pStyle w:val="Heading2"/>
        <w:jc w:val="left"/>
      </w:pPr>
      <w:r>
        <w:rPr>
          <w:color w:val="1A3A5C"/>
        </w:rPr>
        <w:t>The Picture in One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5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idian_boar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color w:val="7F8C8D"/>
          <w:sz w:val="18"/>
        </w:rPr>
        <w:t>Left: ARR by segment — Enterprise doubled, SMB collapsed 50%. Right: NRR compression — Mid-market trending toward breakeven.</w:t>
      </w:r>
    </w:p>
    <w:p>
      <w:pPr>
        <w:pStyle w:val="Heading2"/>
        <w:jc w:val="left"/>
      </w:pPr>
      <w:r>
        <w:rPr>
          <w:color w:val="1A3A5C"/>
        </w:rPr>
        <w:t>Issue 1 — AI Competitive Gap: We Are Behind and Time Is Not Neutral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This is the most urgent issue. We shipped Copilot GA in September 2025 — roughly 18 months after Asana, which bundled AI into its standard tier in October. Today we have 710 paying Copilot seats and $3.5M in AI ARR. That is a beginning, not a moat.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b w:val="0"/>
          <w:sz w:val="22"/>
        </w:rPr>
        <w:t>710 Copilot paying seats at Q4 2025 vs. zero twelve months prior — real traction, but $3.5M ARR on a $413M base.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b w:val="0"/>
          <w:sz w:val="22"/>
        </w:rPr>
        <w:t>Magic number declined from 1.20 (Q1 2024) to 0.92 (Q4 2025) as R&amp;D rose to 25.4% of revenue — we are spending more to grow less.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b w:val="0"/>
          <w:sz w:val="22"/>
        </w:rPr>
        <w:t>ClearAI Work raised $120M at $1B+ valuation. Atlassian announced agentic Jira. Asana full agent suite shipped November 2025.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Risk: </w:t>
      </w:r>
      <w:r>
        <w:rPr>
          <w:rFonts w:ascii="Calibri" w:hAnsi="Calibri"/>
          <w:b w:val="0"/>
          <w:sz w:val="22"/>
        </w:rPr>
        <w:t>Engineering net hiring is ~25 heads/year at 15% attrition — the 2026 plan requires 80. Helio retention cliff hits in 2026.</w:t>
      </w:r>
    </w:p>
    <w:p>
      <w:pPr>
        <w:spacing w:after="120"/>
      </w:pPr>
    </w:p>
    <w:p>
      <w:pPr>
        <w:pStyle w:val="Heading2"/>
        <w:jc w:val="left"/>
      </w:pPr>
      <w:r>
        <w:rPr>
          <w:color w:val="1A3A5C"/>
        </w:rPr>
        <w:t>Issue 2 — Mid-Market NRR at 102%: One Bad Year From a Net ARR Drain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Mid-market is 47% of our ARR and growing at 6%. NRR has compressed from 115% in 2022 to 102% today. If it crosses 100%, our largest segment becomes a headwind, not a tailwind — and enterprise cannot grow fast enough to compensate.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b w:val="0"/>
          <w:sz w:val="22"/>
        </w:rPr>
        <w:t>NRR: 115% (2022) → 108% (Q1 2024) → 102% (Q4 2025). GRR has declined from 89% to 86% — customers are leaving, not just expanding less.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b w:val="0"/>
          <w:sz w:val="22"/>
        </w:rPr>
        <w:t>Mid-market renewals now routinely demand a price hold, expanded seats at flat price, or Copilot bundled at no cost (Q3 2025 earnings call).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Evidence: </w:t>
      </w:r>
      <w:r>
        <w:rPr>
          <w:rFonts w:ascii="Calibri" w:hAnsi="Calibri"/>
          <w:b w:val="0"/>
          <w:sz w:val="22"/>
        </w:rPr>
        <w:t>Resource management module — the #1 mid-market customer ask — deferred twice; now targeting Q2 2026.</w:t>
      </w:r>
    </w:p>
    <w:p>
      <w:pPr>
        <w:spacing w:after="120"/>
      </w:pPr>
    </w:p>
    <w:p>
      <w:pPr>
        <w:pStyle w:val="Heading2"/>
        <w:jc w:val="left"/>
      </w:pPr>
      <w:r>
        <w:rPr>
          <w:color w:val="1A3A5C"/>
        </w:rPr>
        <w:t>Issue 3 — We Need a 3-Year Plan: The Board Authorized One for Q1 2026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The board authorized a successor strategic plan in Q1 2026. The March 11 Investor Day will be the public version. Today I am asking the board to approve the internal version that drives our R&amp;D, M&amp;A, and capital allocation decisions this year.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Context: </w:t>
      </w:r>
      <w:r>
        <w:rPr>
          <w:rFonts w:ascii="Calibri" w:hAnsi="Calibri"/>
          <w:b w:val="0"/>
          <w:sz w:val="22"/>
        </w:rPr>
        <w:t>The 2023–2026 plan explicitly noted it was 'no longer the right plan for 2025' and authorized the new CEO to write a successor (Strategic Plan document).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Stakes: </w:t>
      </w:r>
      <w:r>
        <w:rPr>
          <w:rFonts w:ascii="Calibri" w:hAnsi="Calibri"/>
          <w:b w:val="0"/>
          <w:sz w:val="22"/>
        </w:rPr>
        <w:t>The central strategic question — agentic work platform vs. PM tool with AI features — changes R&amp;D priorities, sales motion, pricing model, and positioning (Q4 2025 earnings call).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Dependency: </w:t>
      </w:r>
      <w:r>
        <w:rPr>
          <w:rFonts w:ascii="Calibri" w:hAnsi="Calibri"/>
          <w:b w:val="0"/>
          <w:sz w:val="22"/>
        </w:rPr>
        <w:t>Two additional AI-native acquisition targets in early diligence. Capital allocation in 2026 requires a resolved strategic direction.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Internal risk: </w:t>
      </w:r>
      <w:r>
        <w:rPr>
          <w:rFonts w:ascii="Calibri" w:hAnsi="Calibri"/>
          <w:b w:val="0"/>
          <w:sz w:val="22"/>
        </w:rPr>
        <w:t>31% of engineers cite 'roadmap thrash' in the 2025 employee survey. The organization will not execute a plan it doesn't believe is durable.</w:t>
      </w:r>
    </w:p>
    <w:p>
      <w:pPr>
        <w:spacing w:after="200"/>
      </w:pPr>
    </w:p>
    <w:p>
      <w:pPr>
        <w:spacing w:before="80" w:after="80"/>
      </w:pPr>
      <w:r>
        <w:rPr>
          <w:rFonts w:ascii="Calibri" w:hAnsi="Calibri"/>
          <w:b/>
          <w:color w:val="C0392B"/>
          <w:sz w:val="24"/>
        </w:rPr>
        <w:t>MY ONE ASK OF THE BOARD TODAY</w:t>
      </w:r>
    </w:p>
    <w:p>
      <w:pPr>
        <w:spacing w:after="120"/>
      </w:pPr>
      <w:r>
        <w:rPr>
          <w:rFonts w:ascii="Calibri" w:hAnsi="Calibri"/>
          <w:b/>
          <w:color w:val="1A3A5C"/>
          <w:sz w:val="24"/>
        </w:rPr>
        <w:t>Approve the 3-year strategic direction — specifically, the decision to position Meridian as an agentic work platform for regulated enterprises — so that every R&amp;D, M&amp;A, and go-to-market decision in 2026 flows from a single, board-sanctioned answer to the question: what is Meridian?</w:t>
      </w:r>
    </w:p>
    <w:p>
      <w:pPr>
        <w:spacing w:after="80"/>
      </w:pPr>
      <w:r>
        <w:rPr>
          <w:rFonts w:ascii="Calibri" w:hAnsi="Calibri"/>
          <w:b w:val="0"/>
          <w:color w:val="7F8C8D"/>
          <w:sz w:val="20"/>
        </w:rPr>
        <w:t>Supporting detail on the 3-year financial model, AI roadmap, and M&amp;A pipeline follows in the board package. I will spend the balance of today's session on Q&amp;A and the strategic direction decision.</w:t>
      </w:r>
    </w:p>
    <w:p/>
    <w:p>
      <w:pPr>
        <w:jc w:val="center"/>
      </w:pPr>
      <w:r>
        <w:rPr>
          <w:rFonts w:ascii="Calibri" w:hAnsi="Calibri"/>
          <w:b w:val="0"/>
          <w:color w:val="7F8C8D"/>
          <w:sz w:val="18"/>
        </w:rPr>
        <w:t>CONFIDENTIAL — For Board Use Only  |  Meridian Technologies, Inc.  |  NASDAQ: MRDN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