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Башиянц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— приобрести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этой лабораторной работе необходимо изучить работу виртуальной машины и ее настройки.</w:t>
      </w:r>
    </w:p>
    <w:p>
      <w:pPr>
        <w:pStyle w:val="BodyText"/>
      </w:pPr>
      <w:r>
        <w:t xml:space="preserve">Необходимо научиться:</w:t>
      </w:r>
    </w:p>
    <w:p>
      <w:pPr>
        <w:numPr>
          <w:ilvl w:val="0"/>
          <w:numId w:val="1001"/>
        </w:numPr>
      </w:pPr>
      <w:r>
        <w:t xml:space="preserve">Устанавливать виртуальную машину;</w:t>
      </w:r>
    </w:p>
    <w:p>
      <w:pPr>
        <w:numPr>
          <w:ilvl w:val="0"/>
          <w:numId w:val="1001"/>
        </w:numPr>
      </w:pPr>
      <w:r>
        <w:t xml:space="preserve">Устанавливать необходимые пакеты;</w:t>
      </w:r>
    </w:p>
    <w:p>
      <w:pPr>
        <w:numPr>
          <w:ilvl w:val="0"/>
          <w:numId w:val="1001"/>
        </w:numPr>
      </w:pPr>
      <w:r>
        <w:t xml:space="preserve">Получать информацию о системе.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скачивания образа Fedora установим виртуальную машину (рис. 1-2).</w:t>
      </w:r>
    </w:p>
    <w:p>
      <w:pPr>
        <w:pStyle w:val="CaptionedFigure"/>
      </w:pPr>
      <w:r>
        <w:drawing>
          <wp:inline>
            <wp:extent cx="3733800" cy="1936797"/>
            <wp:effectExtent b="0" l="0" r="0" t="0"/>
            <wp:docPr descr="Рис. 1: Установка Fedora (VMWare)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Fedora (VMWare)</w:t>
      </w:r>
    </w:p>
    <w:p>
      <w:pPr>
        <w:pStyle w:val="CaptionedFigure"/>
      </w:pPr>
      <w:r>
        <w:drawing>
          <wp:inline>
            <wp:extent cx="3733800" cy="1569540"/>
            <wp:effectExtent b="0" l="0" r="0" t="0"/>
            <wp:docPr descr="Рис. 2: Установка Fedora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Fedora</w:t>
      </w:r>
    </w:p>
    <w:p>
      <w:pPr>
        <w:pStyle w:val="BodyText"/>
      </w:pPr>
      <w:r>
        <w:t xml:space="preserve">Установим средства разработки, пакет DKMS, подмонтируем диск и установим драйвера (рис. 3).</w:t>
      </w:r>
    </w:p>
    <w:p>
      <w:pPr>
        <w:pStyle w:val="CaptionedFigure"/>
      </w:pPr>
      <w:r>
        <w:drawing>
          <wp:inline>
            <wp:extent cx="3733800" cy="791468"/>
            <wp:effectExtent b="0" l="0" r="0" t="0"/>
            <wp:docPr descr="Рис. 3: Установка средства разработк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средства разработки</w:t>
      </w:r>
    </w:p>
    <w:p>
      <w:pPr>
        <w:pStyle w:val="BodyText"/>
      </w:pPr>
      <w:r>
        <w:t xml:space="preserve">Установим средства разработки и программы для удобства работы в консоли (рис. 4).</w:t>
      </w:r>
    </w:p>
    <w:p>
      <w:pPr>
        <w:pStyle w:val="CaptionedFigure"/>
      </w:pPr>
      <w:r>
        <w:drawing>
          <wp:inline>
            <wp:extent cx="3733800" cy="492051"/>
            <wp:effectExtent b="0" l="0" r="0" t="0"/>
            <wp:docPr descr="Рис. 4: Установка средства разработк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средства разработки</w:t>
      </w:r>
    </w:p>
    <w:p>
      <w:pPr>
        <w:pStyle w:val="BodyText"/>
      </w:pPr>
      <w:r>
        <w:t xml:space="preserve">Сделаем автоматическое обновление (рис. 4).</w:t>
      </w:r>
    </w:p>
    <w:p>
      <w:pPr>
        <w:pStyle w:val="CaptionedFigure"/>
      </w:pPr>
      <w:r>
        <w:drawing>
          <wp:inline>
            <wp:extent cx="3733800" cy="2426970"/>
            <wp:effectExtent b="0" l="0" r="0" t="0"/>
            <wp:docPr descr="Рис. 5: Автоматическое обновлени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Автоматическое обновление</w:t>
      </w:r>
    </w:p>
    <w:p>
      <w:pPr>
        <w:pStyle w:val="BodyText"/>
      </w:pPr>
      <w:r>
        <w:t xml:space="preserve">Отключим SELinux (рис. 6).</w:t>
      </w:r>
    </w:p>
    <w:p>
      <w:pPr>
        <w:pStyle w:val="CaptionedFigure"/>
      </w:pPr>
      <w:r>
        <w:drawing>
          <wp:inline>
            <wp:extent cx="3733800" cy="2523721"/>
            <wp:effectExtent b="0" l="0" r="0" t="0"/>
            <wp:docPr descr="Рис. 6: Отключение SELinux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Отключение SELinux</w:t>
      </w:r>
    </w:p>
    <w:p>
      <w:pPr>
        <w:pStyle w:val="BodyText"/>
      </w:pPr>
      <w:r>
        <w:t xml:space="preserve">Установим имя пользователя и название хоста (рис. 7). Проверим, что все правильно (рис. 8).</w:t>
      </w:r>
    </w:p>
    <w:p>
      <w:pPr>
        <w:pStyle w:val="CaptionedFigure"/>
      </w:pPr>
      <w:r>
        <w:drawing>
          <wp:inline>
            <wp:extent cx="3733800" cy="3208441"/>
            <wp:effectExtent b="0" l="0" r="0" t="0"/>
            <wp:docPr descr="Рис. 7: Установка имени пользовател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имени пользователя</w:t>
      </w:r>
    </w:p>
    <w:p>
      <w:pPr>
        <w:pStyle w:val="CaptionedFigure"/>
      </w:pPr>
      <w:r>
        <w:drawing>
          <wp:inline>
            <wp:extent cx="3733800" cy="2750231"/>
            <wp:effectExtent b="0" l="0" r="0" t="0"/>
            <wp:docPr descr="Рис. 8: Провер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p>
      <w:pPr>
        <w:pStyle w:val="BodyText"/>
      </w:pPr>
      <w:r>
        <w:t xml:space="preserve">Установим TeXlive (рис. 9).</w:t>
      </w:r>
    </w:p>
    <w:p>
      <w:pPr>
        <w:pStyle w:val="CaptionedFigure"/>
      </w:pPr>
      <w:r>
        <w:drawing>
          <wp:inline>
            <wp:extent cx="3733800" cy="1888358"/>
            <wp:effectExtent b="0" l="0" r="0" t="0"/>
            <wp:docPr descr="Рис. 9: Установка TeXlive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TeXlive</w:t>
      </w:r>
    </w:p>
    <w:p>
      <w:pPr>
        <w:pStyle w:val="BodyText"/>
      </w:pPr>
      <w:r>
        <w:t xml:space="preserve">Установим дистрибутив TeXlive (рис. 10).</w:t>
      </w:r>
    </w:p>
    <w:p>
      <w:pPr>
        <w:pStyle w:val="CaptionedFigure"/>
      </w:pPr>
      <w:r>
        <w:drawing>
          <wp:inline>
            <wp:extent cx="3733800" cy="535137"/>
            <wp:effectExtent b="0" l="0" r="0" t="0"/>
            <wp:docPr descr="Рис. 10: Установка TeXlive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TeXlive</w:t>
      </w:r>
    </w:p>
    <w:bookmarkStart w:id="73" w:name="домашнее-зада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grep выясним следующую информацию:</w:t>
      </w:r>
    </w:p>
    <w:p>
      <w:pPr>
        <w:numPr>
          <w:ilvl w:val="0"/>
          <w:numId w:val="1002"/>
        </w:numPr>
      </w:pPr>
      <w:r>
        <w:t xml:space="preserve">Версия ядра Linux (Linux version) (рис. 11);</w:t>
      </w:r>
    </w:p>
    <w:p>
      <w:pPr>
        <w:numPr>
          <w:ilvl w:val="0"/>
          <w:numId w:val="1002"/>
        </w:numPr>
      </w:pPr>
      <w:r>
        <w:t xml:space="preserve">Частота процессора (Detected Mhz processor) (рис. 12);</w:t>
      </w:r>
    </w:p>
    <w:p>
      <w:pPr>
        <w:numPr>
          <w:ilvl w:val="0"/>
          <w:numId w:val="1002"/>
        </w:numPr>
      </w:pPr>
      <w:r>
        <w:t xml:space="preserve">Модель процессора (CPU0) (рис. 13);</w:t>
      </w:r>
    </w:p>
    <w:p>
      <w:pPr>
        <w:numPr>
          <w:ilvl w:val="0"/>
          <w:numId w:val="1002"/>
        </w:numPr>
      </w:pPr>
      <w:r>
        <w:t xml:space="preserve">Объём доступной оперативной памяти (Memory available) (рис. 14);</w:t>
      </w:r>
    </w:p>
    <w:p>
      <w:pPr>
        <w:numPr>
          <w:ilvl w:val="0"/>
          <w:numId w:val="1002"/>
        </w:numPr>
      </w:pPr>
      <w:r>
        <w:t xml:space="preserve">Тип обнаруженного гипервизора (Hypervisor detected) (рис. 15);</w:t>
      </w:r>
    </w:p>
    <w:p>
      <w:pPr>
        <w:numPr>
          <w:ilvl w:val="0"/>
          <w:numId w:val="1002"/>
        </w:numPr>
      </w:pPr>
      <w:r>
        <w:t xml:space="preserve">Тип файловой системы корневого раздела (рис. 16);</w:t>
      </w:r>
    </w:p>
    <w:p>
      <w:pPr>
        <w:numPr>
          <w:ilvl w:val="0"/>
          <w:numId w:val="1002"/>
        </w:numPr>
      </w:pPr>
      <w:r>
        <w:t xml:space="preserve">Последовательность монтирования файловых систем (рис. 17).</w:t>
      </w:r>
    </w:p>
    <w:p>
      <w:pPr>
        <w:pStyle w:val="CaptionedFigure"/>
      </w:pPr>
      <w:r>
        <w:drawing>
          <wp:inline>
            <wp:extent cx="3733800" cy="1261649"/>
            <wp:effectExtent b="0" l="0" r="0" t="0"/>
            <wp:docPr descr="Рис. 11: Версия ядра Linux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Версия ядра Linux</w:t>
      </w:r>
    </w:p>
    <w:p>
      <w:pPr>
        <w:pStyle w:val="CaptionedFigure"/>
      </w:pPr>
      <w:r>
        <w:drawing>
          <wp:inline>
            <wp:extent cx="3733800" cy="786789"/>
            <wp:effectExtent b="0" l="0" r="0" t="0"/>
            <wp:docPr descr="Рис. 12: Частота процессор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Частота процессора</w:t>
      </w:r>
    </w:p>
    <w:p>
      <w:pPr>
        <w:pStyle w:val="CaptionedFigure"/>
      </w:pPr>
      <w:r>
        <w:drawing>
          <wp:inline>
            <wp:extent cx="3733800" cy="475531"/>
            <wp:effectExtent b="0" l="0" r="0" t="0"/>
            <wp:docPr descr="Рис. 13: Модель процессо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процессора</w:t>
      </w:r>
    </w:p>
    <w:p>
      <w:pPr>
        <w:pStyle w:val="CaptionedFigure"/>
      </w:pPr>
      <w:r>
        <w:drawing>
          <wp:inline>
            <wp:extent cx="3733800" cy="1261649"/>
            <wp:effectExtent b="0" l="0" r="0" t="0"/>
            <wp:docPr descr="Рис. 14: Объём доступной оперативной памят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Объём доступной оперативной памяти</w:t>
      </w:r>
    </w:p>
    <w:p>
      <w:pPr>
        <w:pStyle w:val="CaptionedFigure"/>
      </w:pPr>
      <w:r>
        <w:drawing>
          <wp:inline>
            <wp:extent cx="3733800" cy="577705"/>
            <wp:effectExtent b="0" l="0" r="0" t="0"/>
            <wp:docPr descr="Рис. 15: Тип обнаруженного гипервизор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Тип обнаруженного гипервизора</w:t>
      </w:r>
    </w:p>
    <w:p>
      <w:pPr>
        <w:pStyle w:val="CaptionedFigure"/>
      </w:pPr>
      <w:r>
        <w:drawing>
          <wp:inline>
            <wp:extent cx="3733800" cy="1022958"/>
            <wp:effectExtent b="0" l="0" r="0" t="0"/>
            <wp:docPr descr="Рис. 16: Тип файловой системы корневого раздел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1261649"/>
            <wp:effectExtent b="0" l="0" r="0" t="0"/>
            <wp:docPr descr="Рис. 17: Последовательность монтирования файловых систем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Последовательность монтирования файловых систем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изучили работу виртуальной машины и ее настройки.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Башиянц Александра Кареновна</dc:creator>
  <dc:language>ru-RU</dc:language>
  <cp:keywords/>
  <dcterms:created xsi:type="dcterms:W3CDTF">2025-03-05T05:47:28Z</dcterms:created>
  <dcterms:modified xsi:type="dcterms:W3CDTF">2025-03-05T05:47:28Z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