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spacing w:line="360" w:lineRule="auto"/>
        <w:jc w:val="both"/>
        <w:rPr/>
      </w:pPr>
      <w:bookmarkStart w:colFirst="0" w:colLast="0" w:name="_8p992o9amky1" w:id="0"/>
      <w:bookmarkEnd w:id="0"/>
      <w:r w:rsidDel="00000000" w:rsidR="00000000" w:rsidRPr="00000000">
        <w:rPr>
          <w:rtl w:val="0"/>
        </w:rPr>
        <w:t xml:space="preserve">Спринт 4. Проект «Секреты Темнолесья»</w:t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Цель проекта</w:t>
      </w:r>
      <w:r w:rsidDel="00000000" w:rsidR="00000000" w:rsidRPr="00000000">
        <w:rPr>
          <w:rtl w:val="0"/>
        </w:rPr>
        <w:t xml:space="preserve"> — изучить влияние характеристик игроков и их игровых персонажей на покупку внутриигровой валюты «райские лепестки», а также оценить активность игроков при совершении внутриигровых покупок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Автор:  Дегтярёва Александра 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Дата: 23.08.2025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Часть 3. Выводы и аналитические комментарии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Задание. В заключительной части проекта напишите выводы и аналитические комментарии по полученным в проекте результатам. Отметьте только самые важные моменты — в выводах достаточно одного-двух предложений по каждой задаче.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 Результаты исследовательского анализа данных: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1.1. Какая доля платящих игроков характерна для всей игры и как раса персонажа влияет на изменение этого показателя? </w:t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Из двадцати двух тысяч пользователей платящие составляют почти четыре тысячи, что говорит о том, что доля платящих пользователей составляет 17,7%.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разрезе расы - наибольшее количество пользователей с расой "люди", но платящих среди них не больше, чем везде. Больше всего платящих пользователей у рас демонов и хоббитов; несмотря на небольшое количество самих пользователей, процент платящих выше, чем у остальных рас.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color w:val="434343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color w:val="434343"/>
          <w:rtl w:val="0"/>
        </w:rPr>
        <w:t xml:space="preserve">1.2. Сколько было совершено внутриигровых покупок и что можно сказать об их стоимости (минимум и максимум, есть ли различие между средним значением и медианой, какой разброс данных)?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Всего игроки совершили больше 1.3 миллиона покупок. Общая сумма всех покупок составила почти 687 миллионов.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Самая маленькая покупка - 0 рублей, это говорит о возможных акциях, скидках и т.д. Самая крупная — почти 487 тысяч рублей.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Здесь есть очень важный момент: средняя стоимость покупки составляет 525 рублей, но при этом половина всех покупок — меньше 75 рублей. Такая большая разница между средней ценой (525 руб.) и медианой (75 руб.) говорит нам о том, что большинство игроков платят совсем немного, но есть небольшая группа игроков, которые делают очень крупные покупки. Именно эти "киты" и поднимают средний чек так высоко. Разброс сумм покупок огромный — от нуля до почти полумиллиона рублей. Об этом также говорит стандартное отклонение, большинство покупок сильно не близки к среднему значению</w:t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color w:val="434343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1.3. Есть ли аномальные покупки по стоимости? Если есть, то сколько их?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Из 1,3 миллиона 907 покупок с нулевой стоимостью. Вероятно акции, промокоды или что-то подобное 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1.4. Есть ли среди эпических предметов популярные, которые покупают чаще всего? 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Два топовых предмета (Book of Legends и Bag of Holding) формируют 97.7% всех продаж эпических предметов и куплены подавляющим большинством платящих игроков.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Остальные эпические предметы  пользуются нишевой популярностью — их покупают менее 12% игроков, и на них приходится лишь около 3% продаж.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2. Результаты решения ad hoc задачи</w:t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Существует ли зависимость активности игроков по совершению внутриигровых покупок от расы персонажа?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Демоны показывают самый высокий процент (19.4%) — возможно, их игровой процесс более зависим от покупок, или эта раса привлекает людей, готовых тратитть больше денег.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Эльфы и ангелы имеют наименьшую долю платящих — возможно, их игровая механика менее зависима от улучшений через покупки</w:t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Разброс показателей (от 17.1% до 19.4%) существенен — разница в 2.3 процентных пункта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Гипотеза опровергнута — существует статистически значимая разница в покупательской активности между расами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3. Общие выводы и рекомендации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Я могу дать следующие рекомендации: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Усилить таргетирование на пользователей, выбирающих расы демонов и хоббитов, так как они проявляют наибольшую склонность к покупкам.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Разработать специальные предложения и рекламные материалы для рас с низкой конверсией (эльфы, ангелы), чтобы повысить их вовлеченность. (Прим. :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для демонов: Создать эксклюзивные  предметы, усиливающие их уникальные способности.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для хоббитов: Предложить наборы ресурсов или усиления, которые помогут в их "экономическом" геймплее.)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Проанализировать геймплейные особенности рас с низкой конверсией и добавить им персонализированные предметы или уникальные улучшения, которые будут мотивировать к покупкам.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