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Объявила нужные библиотеки. Задала исходные данные – телеграммы Центра.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"GimmeGimmeGimmeA"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"ManAfterMidnight"</w:t>
      </w:r>
    </w:p>
    <w:p>
      <w:pPr>
        <w:pStyle w:val="FirstParagraph"/>
      </w:pPr>
      <w:r>
        <w:t xml:space="preserve">Также вывела длины телеграмм, чтобы показать, что они равны (рис. 1).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"Длина первой телеграммы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символов, а второй --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(P2)))</w:t>
      </w:r>
    </w:p>
    <w:p>
      <w:pPr>
        <w:pStyle w:val="CaptionedFigure"/>
      </w:pPr>
      <w:bookmarkStart w:id="22" w:name="fig:001"/>
      <w:r>
        <w:drawing>
          <wp:inline>
            <wp:extent cx="3887798" cy="300537"/>
            <wp:effectExtent b="0" l="0" r="0" t="0"/>
            <wp:docPr descr="Figure 1: Вывод на экран длин телеграм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98" cy="30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Вывод на экран длин телеграмм</w:t>
      </w:r>
    </w:p>
    <w:p>
      <w:pPr>
        <w:numPr>
          <w:ilvl w:val="0"/>
          <w:numId w:val="1002"/>
        </w:numPr>
        <w:pStyle w:val="Compact"/>
      </w:pPr>
      <w:r>
        <w:t xml:space="preserve">Написала функцию, кодирующую исходные тексты в режиме однократного гаммирования.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shifrovka(p1, p2):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"Исходная телеграмма 1: "</w:t>
      </w:r>
      <w:r>
        <w:rPr>
          <w:rStyle w:val="NormalTok"/>
        </w:rPr>
        <w:t xml:space="preserve">, p1)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"Исходная телеграмма 2: "</w:t>
      </w:r>
      <w:r>
        <w:rPr>
          <w:rStyle w:val="NormalTok"/>
        </w:rPr>
        <w:t xml:space="preserve">, p2)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p1_16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p2_16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p1:</w:t>
      </w:r>
      <w:r>
        <w:br/>
      </w:r>
      <w:r>
        <w:rPr>
          <w:rStyle w:val="NormalTok"/>
        </w:rPr>
        <w:t xml:space="preserve">        p1_16.append(i.encode(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p2:</w:t>
      </w:r>
      <w:r>
        <w:br/>
      </w:r>
      <w:r>
        <w:rPr>
          <w:rStyle w:val="NormalTok"/>
        </w:rPr>
        <w:t xml:space="preserve">        p2_16.append(i.encode(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"Телеграмма 1 в 16-ой форме: "</w:t>
      </w:r>
      <w:r>
        <w:rPr>
          <w:rStyle w:val="NormalTok"/>
        </w:rPr>
        <w:t xml:space="preserve">, p1_16)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"Телеграмма 2 в 16-ой форме: "</w:t>
      </w:r>
      <w:r>
        <w:rPr>
          <w:rStyle w:val="NormalTok"/>
        </w:rPr>
        <w:t xml:space="preserve">, p2_16)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K.append(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длиной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байт: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(p1), K))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c1_16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c2_16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(p1_16)):</w:t>
      </w:r>
      <w:r>
        <w:br/>
      </w:r>
      <w:r>
        <w:rPr>
          <w:rStyle w:val="NormalTok"/>
        </w:rPr>
        <w:t xml:space="preserve">        c1_16.append(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(p1_16[i],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(p2_16)):</w:t>
      </w:r>
      <w:r>
        <w:br/>
      </w:r>
      <w:r>
        <w:rPr>
          <w:rStyle w:val="NormalTok"/>
        </w:rPr>
        <w:t xml:space="preserve">        c2_16.append(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(p2_16[i],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1 в 16-ой форме: "</w:t>
      </w:r>
      <w:r>
        <w:rPr>
          <w:rStyle w:val="NormalTok"/>
        </w:rPr>
        <w:t xml:space="preserve">, c1_16)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2 в 16-ой форме: "</w:t>
      </w:r>
      <w:r>
        <w:rPr>
          <w:rStyle w:val="NormalTok"/>
        </w:rPr>
        <w:t xml:space="preserve">, c2_16)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.join(c1_16)).decode(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.join(c2_16)).decode(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1: "</w:t>
      </w:r>
      <w:r>
        <w:rPr>
          <w:rStyle w:val="NormalTok"/>
        </w:rPr>
        <w:t xml:space="preserve">, c1)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2: "</w:t>
      </w:r>
      <w:r>
        <w:rPr>
          <w:rStyle w:val="NormalTok"/>
        </w:rPr>
        <w:t xml:space="preserve">, c2)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c1, c2</w:t>
      </w:r>
    </w:p>
    <w:p>
      <w:pPr>
        <w:numPr>
          <w:ilvl w:val="0"/>
          <w:numId w:val="1003"/>
        </w:numPr>
        <w:pStyle w:val="Compact"/>
      </w:pPr>
      <w:r>
        <w:t xml:space="preserve">Закодировала исходные тексты (рис. 2).</w:t>
      </w:r>
    </w:p>
    <w:p>
      <w:pPr>
        <w:pStyle w:val="SourceCode"/>
      </w:pP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shifrovka(P1, P2)</w:t>
      </w:r>
    </w:p>
    <w:p>
      <w:pPr>
        <w:pStyle w:val="CaptionedFigure"/>
      </w:pPr>
      <w:bookmarkStart w:id="24" w:name="fig:002"/>
      <w:r>
        <w:drawing>
          <wp:inline>
            <wp:extent cx="5334000" cy="1053851"/>
            <wp:effectExtent b="0" l="0" r="0" t="0"/>
            <wp:docPr descr="Figure 2: Шифрование исходных телеграмм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Шифрование исходных телеграмм</w:t>
      </w:r>
    </w:p>
    <w:p>
      <w:pPr>
        <w:numPr>
          <w:ilvl w:val="0"/>
          <w:numId w:val="1004"/>
        </w:numPr>
        <w:pStyle w:val="Compact"/>
      </w:pPr>
      <w:r>
        <w:t xml:space="preserve">Написала функцию, читающую (дешифрующую) оба текста, не зная ключа и не стремясь его определить, но получая на вход шаблон.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rasshifrovka(c1, c2, p):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1: "</w:t>
      </w:r>
      <w:r>
        <w:rPr>
          <w:rStyle w:val="NormalTok"/>
        </w:rPr>
        <w:t xml:space="preserve">, c1)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2: "</w:t>
      </w:r>
      <w:r>
        <w:rPr>
          <w:rStyle w:val="NormalTok"/>
        </w:rPr>
        <w:t xml:space="preserve">, c2)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c1_16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c2_16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c1:</w:t>
      </w:r>
      <w:r>
        <w:br/>
      </w:r>
      <w:r>
        <w:rPr>
          <w:rStyle w:val="NormalTok"/>
        </w:rPr>
        <w:t xml:space="preserve">        c1_16.append(i.encode(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c2:</w:t>
      </w:r>
      <w:r>
        <w:br/>
      </w:r>
      <w:r>
        <w:rPr>
          <w:rStyle w:val="NormalTok"/>
        </w:rPr>
        <w:t xml:space="preserve">        c2_16.append(i.encode(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1 в 16-ой форме: "</w:t>
      </w:r>
      <w:r>
        <w:rPr>
          <w:rStyle w:val="NormalTok"/>
        </w:rPr>
        <w:t xml:space="preserve">, c1_16)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"Зашифрованная телеграмма 2 в 16-ой форме: "</w:t>
      </w:r>
      <w:r>
        <w:rPr>
          <w:rStyle w:val="NormalTok"/>
        </w:rPr>
        <w:t xml:space="preserve">, c2_16)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"Шаблон: "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    p_16.append(i.encode(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"Шаблон в 16-ой форме: "</w:t>
      </w:r>
      <w:r>
        <w:rPr>
          <w:rStyle w:val="NormalTok"/>
        </w:rPr>
        <w:t xml:space="preserve">, p_16)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pp_16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(p)):</w:t>
      </w:r>
      <w:r>
        <w:br/>
      </w:r>
      <w:r>
        <w:rPr>
          <w:rStyle w:val="NormalTok"/>
        </w:rPr>
        <w:t xml:space="preserve">        tmp.append(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(c1_16[i],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(c2_16[i],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pp_16.append(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(tmp[i],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(p_16[i],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"Вторая телеграмма в 16-ой форме: "</w:t>
      </w:r>
      <w:r>
        <w:rPr>
          <w:rStyle w:val="NormalTok"/>
        </w:rPr>
        <w:t xml:space="preserve">, pp_16)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.join(pp_16)).decode(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"Вторая телеграмма: "</w:t>
      </w:r>
      <w:r>
        <w:rPr>
          <w:rStyle w:val="NormalTok"/>
        </w:rPr>
        <w:t xml:space="preserve">, pp)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pp</w:t>
      </w:r>
    </w:p>
    <w:p>
      <w:pPr>
        <w:numPr>
          <w:ilvl w:val="0"/>
          <w:numId w:val="1005"/>
        </w:numPr>
        <w:pStyle w:val="Compact"/>
      </w:pPr>
      <w:r>
        <w:t xml:space="preserve">Прочитала оба текста, используя шаблон 1-ой телеграммы (рис. 3).</w:t>
      </w:r>
    </w:p>
    <w:p>
      <w:pPr>
        <w:pStyle w:val="SourceCode"/>
      </w:pPr>
      <w:r>
        <w:rPr>
          <w:rStyle w:val="NormalTok"/>
        </w:rPr>
        <w:t xml:space="preserve">P2_dec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rasshifrovka(C1, C2, P1)</w:t>
      </w:r>
    </w:p>
    <w:p>
      <w:pPr>
        <w:pStyle w:val="CaptionedFigure"/>
      </w:pPr>
      <w:bookmarkStart w:id="26" w:name="fig:003"/>
      <w:r>
        <w:drawing>
          <wp:inline>
            <wp:extent cx="5334000" cy="1069661"/>
            <wp:effectExtent b="0" l="0" r="0" t="0"/>
            <wp:docPr descr="Figure 3: Чтение телеграмм по 1-о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Чтение телеграмм по 1-ой</w:t>
      </w:r>
    </w:p>
    <w:p>
      <w:pPr>
        <w:numPr>
          <w:ilvl w:val="0"/>
          <w:numId w:val="1006"/>
        </w:numPr>
        <w:pStyle w:val="Compact"/>
      </w:pPr>
      <w:r>
        <w:t xml:space="preserve">Прочитала оба текста, используя шаблон 2-ой телеграммы (рис. 4).</w:t>
      </w:r>
    </w:p>
    <w:p>
      <w:pPr>
        <w:pStyle w:val="SourceCode"/>
      </w:pPr>
      <w:r>
        <w:rPr>
          <w:rStyle w:val="NormalTok"/>
        </w:rPr>
        <w:t xml:space="preserve">P1_dec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rasshifrovka(C1, C2, P2)</w:t>
      </w:r>
    </w:p>
    <w:p>
      <w:pPr>
        <w:pStyle w:val="CaptionedFigure"/>
      </w:pPr>
      <w:bookmarkStart w:id="28" w:name="fig:004"/>
      <w:r>
        <w:drawing>
          <wp:inline>
            <wp:extent cx="5334000" cy="1081119"/>
            <wp:effectExtent b="0" l="0" r="0" t="0"/>
            <wp:docPr descr="Figure 4: Чтение телеграмм по 2-о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Чтение телеграмм по 2-ой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По формуле (рис. 5):</w:t>
      </w:r>
    </w:p>
    <w:p>
      <w:pPr>
        <w:pStyle w:val="CaptionedFigure"/>
      </w:pPr>
      <w:bookmarkStart w:id="31" w:name="fig:005"/>
      <w:r>
        <w:t xml:space="preserve">Figure 5: Определение другого текста</w:t>
      </w:r>
      <w:bookmarkEnd w:id="31"/>
    </w:p>
    <w:p>
      <w:pPr>
        <w:pStyle w:val="ImageCaption"/>
      </w:pPr>
      <w:r>
        <w:t xml:space="preserve">Figure 5: Определение другого текста</w:t>
      </w:r>
    </w:p>
    <w:p>
      <w:pPr>
        <w:numPr>
          <w:ilvl w:val="0"/>
          <w:numId w:val="1008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Ничего не изменится – получится исходный текст.</w:t>
      </w:r>
    </w:p>
    <w:p>
      <w:pPr>
        <w:numPr>
          <w:ilvl w:val="0"/>
          <w:numId w:val="1009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По формуле (рис. 6):</w:t>
      </w:r>
    </w:p>
    <w:p>
      <w:pPr>
        <w:pStyle w:val="CaptionedFigure"/>
      </w:pPr>
      <w:bookmarkStart w:id="32" w:name="fig:006"/>
      <w:r>
        <w:t xml:space="preserve">Figure 6: Реализация однократного гаммирования</w:t>
      </w:r>
      <w:bookmarkEnd w:id="32"/>
    </w:p>
    <w:p>
      <w:pPr>
        <w:pStyle w:val="ImageCaption"/>
      </w:pPr>
      <w:r>
        <w:t xml:space="preserve">Figure 6: Реализация однократного гаммирования</w:t>
      </w:r>
    </w:p>
    <w:p>
      <w:pPr>
        <w:numPr>
          <w:ilvl w:val="0"/>
          <w:numId w:val="1010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Злоумышленнику достаточно знать формат хотя бы одного текста и иметь на руках оба шифротекста, чтобы дешифровать послание.</w:t>
      </w:r>
    </w:p>
    <w:p>
      <w:pPr>
        <w:numPr>
          <w:ilvl w:val="0"/>
          <w:numId w:val="1011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Режим однократного гаммирования помогает упростить процессы шифровки и дешифровки.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</w:t>
      </w:r>
      <w:r>
        <w:t xml:space="preserve"> </w:t>
      </w:r>
      <w:r>
        <w:t xml:space="preserve">(кодирование) различных исходных текстов одним ключом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Никитаева Александра Семеновна, НПИбд-02-18</dc:creator>
  <dc:language>ru-RU</dc:language>
  <cp:keywords/>
  <dcterms:created xsi:type="dcterms:W3CDTF">2021-12-18T18:17:50Z</dcterms:created>
  <dcterms:modified xsi:type="dcterms:W3CDTF">2021-12-18T18:17:50Z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