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amount when account is fixed to 'Prague' and status is fixed to 'Running Contract/OK'.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Hl.m. Praha</w:t>
            </w:r>
          </w:p>
        </w:tc>
      </w:tr>
      <w:tr>
        <w:tc>
          <w:p/>
        </w:tc>
        <w:tc>
          <w:p/>
          <w:p>
            <w:pPr>
              <w:jc w:val="left"/>
            </w:pPr>
            <w:r>
              <w:rPr>
                <w:rFonts w:ascii="Calibri"/>
                <w:color w:val="000000"/>
                <w:sz w:val="24"/>
              </w:rPr>
              <w:t>1994</w:t>
            </w:r>
          </w:p>
        </w:tc>
        <w:tc>
          <w:p/>
          <w:p>
            <w:pPr>
              <w:jc w:val="left"/>
            </w:pPr>
            <w:r>
              <w:rPr>
                <w:rFonts w:ascii="Calibri"/>
                <w:color w:val="FF0000"/>
                <w:sz w:val="24"/>
              </w:rPr>
              <w:t>288360.00</w:t>
            </w:r>
          </w:p>
        </w:tc>
      </w:tr>
      <w:tr>
        <w:tc>
          <w:p/>
        </w:tc>
        <w:tc>
          <w:p/>
          <w:p>
            <w:pPr>
              <w:jc w:val="left"/>
            </w:pPr>
            <w:r>
              <w:rPr>
                <w:rFonts w:ascii="Calibri"/>
                <w:color w:val="000000"/>
                <w:sz w:val="24"/>
              </w:rPr>
              <w:t>1995</w:t>
            </w:r>
          </w:p>
        </w:tc>
        <w:tc>
          <w:p/>
          <w:p>
            <w:pPr>
              <w:jc w:val="left"/>
            </w:pPr>
            <w:r>
              <w:rPr>
                <w:rFonts w:ascii="Calibri"/>
                <w:color w:val="000000"/>
                <w:sz w:val="24"/>
              </w:rPr>
              <w:t>272610.00</w:t>
            </w:r>
          </w:p>
        </w:tc>
      </w:tr>
      <w:tr>
        <w:tc>
          <w:p/>
        </w:tc>
        <w:tc>
          <w:p/>
          <w:p>
            <w:pPr>
              <w:jc w:val="left"/>
            </w:pPr>
            <w:r>
              <w:rPr>
                <w:rFonts w:ascii="Calibri"/>
                <w:color w:val="000000"/>
                <w:sz w:val="24"/>
              </w:rPr>
              <w:t>1996</w:t>
            </w:r>
          </w:p>
        </w:tc>
        <w:tc>
          <w:p/>
          <w:p>
            <w:pPr>
              <w:jc w:val="left"/>
            </w:pPr>
            <w:r>
              <w:rPr>
                <w:rFonts w:ascii="Calibri"/>
                <w:color w:val="0000FF"/>
                <w:sz w:val="24"/>
              </w:rPr>
              <w:t>130347.00</w:t>
            </w:r>
          </w:p>
        </w:tc>
      </w:tr>
      <w:tr>
        <w:tc>
          <w:p/>
        </w:tc>
        <w:tc>
          <w:p/>
          <w:p>
            <w:pPr>
              <w:jc w:val="left"/>
            </w:pPr>
            <w:r>
              <w:rPr>
                <w:rFonts w:ascii="Calibri"/>
                <w:color w:val="000000"/>
                <w:sz w:val="24"/>
              </w:rPr>
              <w:t>1997</w:t>
            </w:r>
          </w:p>
        </w:tc>
        <w:tc>
          <w:p/>
          <w:p>
            <w:pPr>
              <w:jc w:val="left"/>
            </w:pPr>
            <w:r>
              <w:rPr>
                <w:rFonts w:ascii="Calibri"/>
                <w:color w:val="000000"/>
                <w:sz w:val="24"/>
              </w:rPr>
              <w:t>195099.00</w:t>
            </w:r>
          </w:p>
        </w:tc>
      </w:tr>
      <w:tr>
        <w:tc>
          <w:p/>
        </w:tc>
        <w:tc>
          <w:p/>
          <w:p>
            <w:pPr>
              <w:jc w:val="left"/>
            </w:pPr>
            <w:r>
              <w:rPr>
                <w:rFonts w:ascii="Calibri"/>
                <w:color w:val="000000"/>
                <w:sz w:val="24"/>
              </w:rPr>
              <w:t>1998</w:t>
            </w:r>
          </w:p>
        </w:tc>
        <w:tc>
          <w:p/>
          <w:p>
            <w:pPr>
              <w:jc w:val="left"/>
            </w:pPr>
            <w:r>
              <w:rPr>
                <w:rFonts w:ascii="Calibri"/>
                <w:color w:val="000000"/>
                <w:sz w:val="24"/>
              </w:rPr>
              <w:t>185109.59</w:t>
            </w:r>
          </w:p>
        </w:tc>
      </w:tr>
    </w:tbl>
    <w:p>
      <w:r>
        <w:rPr>
          <w:sz w:val="24"/>
        </w:rPr>
        <w:t>Here, you can see the answer of the original query. You have specified account to be equal to 'Prague', and status to be equal to 'Running Contract/OK'. We report on Avg of amount grouped by account at level 1, and date at level 3 .</w:t>
        <w:br/>
        <w:t xml:space="preserve">You can observe the results in this table. We highlight the largest value with red and the lowest value with blue color. </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b w:val="true"/>
                <w:color w:val="000000"/>
                <w:sz w:val="24"/>
              </w:rPr>
              <w:t>Running Contract/OK</w:t>
            </w:r>
          </w:p>
        </w:tc>
      </w:tr>
      <w:tr>
        <w:tc>
          <w:p/>
        </w:tc>
        <w:tc>
          <w:p/>
          <w:p>
            <w:pPr>
              <w:jc w:val="left"/>
            </w:pPr>
            <w:r>
              <w:rPr>
                <w:rFonts w:ascii="Calibri"/>
                <w:color w:val="000000"/>
                <w:sz w:val="24"/>
              </w:rPr>
              <w:t>1994</w:t>
            </w:r>
          </w:p>
        </w:tc>
        <w:tc>
          <w:p/>
          <w:p>
            <w:pPr>
              <w:jc w:val="left"/>
            </w:pPr>
            <w:r>
              <w:rPr>
                <w:rFonts w:ascii="Calibri"/>
                <w:b w:val="true"/>
                <w:color w:val="FF0000"/>
                <w:sz w:val="24"/>
              </w:rPr>
              <w:t>288360.00</w:t>
            </w:r>
          </w:p>
        </w:tc>
      </w:tr>
      <w:tr>
        <w:tc>
          <w:p/>
        </w:tc>
        <w:tc>
          <w:p/>
          <w:p>
            <w:pPr>
              <w:jc w:val="left"/>
            </w:pPr>
            <w:r>
              <w:rPr>
                <w:rFonts w:ascii="Calibri"/>
                <w:color w:val="000000"/>
                <w:sz w:val="24"/>
              </w:rPr>
              <w:t>1995</w:t>
            </w:r>
          </w:p>
        </w:tc>
        <w:tc>
          <w:p/>
          <w:p>
            <w:pPr>
              <w:jc w:val="left"/>
            </w:pPr>
            <w:r>
              <w:rPr>
                <w:rFonts w:ascii="Calibri"/>
                <w:b w:val="true"/>
                <w:color w:val="000000"/>
                <w:sz w:val="24"/>
              </w:rPr>
              <w:t>272610.00</w:t>
            </w:r>
          </w:p>
        </w:tc>
      </w:tr>
      <w:tr>
        <w:tc>
          <w:p/>
        </w:tc>
        <w:tc>
          <w:p/>
          <w:p>
            <w:pPr>
              <w:jc w:val="left"/>
            </w:pPr>
            <w:r>
              <w:rPr>
                <w:rFonts w:ascii="Calibri"/>
                <w:color w:val="000000"/>
                <w:sz w:val="24"/>
              </w:rPr>
              <w:t>1996</w:t>
            </w:r>
          </w:p>
        </w:tc>
        <w:tc>
          <w:p/>
          <w:p>
            <w:pPr>
              <w:jc w:val="left"/>
            </w:pPr>
            <w:r>
              <w:rPr>
                <w:rFonts w:ascii="Calibri"/>
                <w:b w:val="true"/>
                <w:color w:val="0000FF"/>
                <w:sz w:val="24"/>
              </w:rPr>
              <w:t>130347.00</w:t>
            </w:r>
          </w:p>
        </w:tc>
      </w:tr>
      <w:tr>
        <w:tc>
          <w:p/>
        </w:tc>
        <w:tc>
          <w:p/>
          <w:p>
            <w:pPr>
              <w:jc w:val="left"/>
            </w:pPr>
            <w:r>
              <w:rPr>
                <w:rFonts w:ascii="Calibri"/>
                <w:color w:val="000000"/>
                <w:sz w:val="24"/>
              </w:rPr>
              <w:t>1997</w:t>
            </w:r>
          </w:p>
        </w:tc>
        <w:tc>
          <w:p/>
          <w:p>
            <w:pPr>
              <w:jc w:val="left"/>
            </w:pPr>
            <w:r>
              <w:rPr>
                <w:rFonts w:ascii="Calibri"/>
                <w:b w:val="true"/>
                <w:color w:val="000000"/>
                <w:sz w:val="24"/>
              </w:rPr>
              <w:t>195099.00</w:t>
            </w:r>
          </w:p>
        </w:tc>
      </w:tr>
      <w:tr>
        <w:tc>
          <w:p/>
        </w:tc>
        <w:tc>
          <w:p/>
          <w:p>
            <w:pPr>
              <w:jc w:val="left"/>
            </w:pPr>
            <w:r>
              <w:rPr>
                <w:rFonts w:ascii="Calibri"/>
                <w:color w:val="000000"/>
                <w:sz w:val="24"/>
              </w:rPr>
              <w:t>1998</w:t>
            </w:r>
          </w:p>
        </w:tc>
        <w:tc>
          <w:p/>
          <w:p>
            <w:pPr>
              <w:jc w:val="left"/>
            </w:pPr>
            <w:r>
              <w:rPr>
                <w:rFonts w:ascii="Calibri"/>
                <w:b w:val="true"/>
                <w:color w:val="000000"/>
                <w:sz w:val="24"/>
              </w:rPr>
              <w:t>185109.59</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2 to be equal to ''Prague'', and status at level 1 to be equal to ''Running Contract/OK''.</w:t>
        <w:br/>
        <w:t>Compared to its sibling we observe the following:</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color w:val="000000"/>
                <w:sz w:val="24"/>
              </w:rPr>
              <w:t>Hl.m. Praha</w:t>
            </w:r>
          </w:p>
        </w:tc>
      </w:tr>
      <w:tr>
        <w:tc>
          <w:p/>
        </w:tc>
        <w:tc>
          <w:p/>
          <w:p>
            <w:pPr>
              <w:jc w:val="left"/>
            </w:pPr>
            <w:r>
              <w:rPr>
                <w:rFonts w:ascii="Calibri"/>
                <w:b w:val="true"/>
                <w:color w:val="000000"/>
                <w:sz w:val="24"/>
              </w:rPr>
              <w:t>Running Contract/OK</w:t>
            </w:r>
          </w:p>
        </w:tc>
        <w:tc>
          <w:p/>
          <w:p>
            <w:pPr>
              <w:jc w:val="left"/>
            </w:pPr>
            <w:r>
              <w:rPr>
                <w:rFonts w:ascii="Calibri"/>
                <w:b w:val="true"/>
                <w:color w:val="000000"/>
                <w:sz w:val="24"/>
              </w:rPr>
              <w:t>184179.91</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2 to be equal to ''Prague'', and status at level 1 to be equal to ''Running Contract/OK''.</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Rows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1994</w:t>
            </w:r>
          </w:p>
        </w:tc>
        <w:tc>
          <w:p/>
          <w:p>
            <w:pPr>
              <w:jc w:val="left"/>
              <w:textAlignment w:val="center"/>
            </w:pPr>
            <w:r>
              <w:rPr>
                <w:rFonts w:ascii="Calibri"/>
                <w:color w:val="000000"/>
                <w:sz w:val="24"/>
              </w:rPr>
              <w:t/>
            </w:r>
          </w:p>
        </w:tc>
        <w:tc>
          <w:p/>
          <w:p>
            <w:pPr>
              <w:jc w:val="left"/>
            </w:pPr>
            <w:r>
              <w:rPr>
                <w:rFonts w:ascii="Calibri"/>
                <w:color w:val="000000"/>
                <w:sz w:val="24"/>
              </w:rPr>
              <w:t>Hl.m. Praha</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1995</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1996</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bl>
    <w:p>
      <w:r>
        <w:rPr>
          <w:sz w:val="24"/>
        </w:rPr>
        <w:t>In this slide, we expand dimension date by drilling down from level 3 to level 2. For each cell we show both the Avg of amount and the number of tuples that correspond to it in parentheses. We highlight the 160 lowest values in blue and the 160 largest in red color.</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Hl.m. Praha</w:t>
            </w:r>
          </w:p>
        </w:tc>
        <w:tc>
          <w:p/>
          <w:p>
            <w:pPr>
              <w:jc w:val="left"/>
              <w:textAlignment w:val="center"/>
            </w:pPr>
            <w:r>
              <w:rPr>
                <w:rFonts w:ascii="Calibri"/>
                <w:color w:val="000000"/>
                <w:sz w:val="24"/>
              </w:rPr>
              <w:t/>
            </w:r>
          </w:p>
        </w:tc>
        <w:tc>
          <w:p/>
          <w:p>
            <w:pPr>
              <w:jc w:val="left"/>
            </w:pPr>
            <w:r>
              <w:rPr>
                <w:rFonts w:ascii="Calibri"/>
                <w:color w:val="000000"/>
                <w:sz w:val="24"/>
              </w:rPr>
              <w:t>1994</w:t>
            </w:r>
          </w:p>
        </w:tc>
        <w:tc>
          <w:p/>
          <w:p>
            <w:pPr>
              <w:jc w:val="left"/>
            </w:pPr>
            <w:r>
              <w:rPr>
                <w:rFonts w:ascii="Calibri"/>
                <w:color w:val="000000"/>
                <w:sz w:val="24"/>
              </w:rPr>
              <w:t>1995</w:t>
            </w:r>
          </w:p>
        </w:tc>
        <w:tc>
          <w:p/>
          <w:p>
            <w:pPr>
              <w:jc w:val="left"/>
            </w:pPr>
            <w:r>
              <w:rPr>
                <w:rFonts w:ascii="Calibri"/>
                <w:color w:val="000000"/>
                <w:sz w:val="24"/>
              </w:rPr>
              <w:t>1996</w:t>
            </w:r>
          </w:p>
        </w:tc>
        <w:tc>
          <w:p/>
          <w:p>
            <w:pPr>
              <w:jc w:val="left"/>
            </w:pPr>
            <w:r>
              <w:rPr>
                <w:rFonts w:ascii="Calibri"/>
                <w:color w:val="000000"/>
                <w:sz w:val="24"/>
              </w:rPr>
              <w:t>1997</w:t>
            </w:r>
          </w:p>
        </w:tc>
        <w:tc>
          <w:p/>
          <w:p>
            <w:pPr>
              <w:jc w:val="left"/>
            </w:pPr>
            <w:r>
              <w:rPr>
                <w:rFonts w:ascii="Calibri"/>
                <w:color w:val="000000"/>
                <w:sz w:val="24"/>
              </w:rPr>
              <w:t>1998</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10022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218064.00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10404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194280.00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10652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45720.00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10679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197808.00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10762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68832.00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11349</w:t>
            </w:r>
          </w:p>
        </w:tc>
        <w:tc>
          <w:p/>
          <w:p>
            <w:pPr>
              <w:jc w:val="left"/>
            </w:pPr>
            <w:r>
              <w:rPr>
                <w:rFonts w:ascii="Calibri"/>
                <w:color w:val="000000"/>
                <w:sz w:val="24"/>
              </w:rPr>
              <w:t>-</w:t>
            </w:r>
          </w:p>
        </w:tc>
        <w:tc>
          <w:p/>
          <w:p>
            <w:pPr>
              <w:jc w:val="left"/>
            </w:pPr>
            <w:r>
              <w:rPr>
                <w:rFonts w:ascii="Calibri"/>
                <w:color w:val="FF0000"/>
                <w:sz w:val="24"/>
              </w:rPr>
              <w:t>419880.00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1869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37944.00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1876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209040.00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1906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44952.00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2143</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71460.00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2246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415800.00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2268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20196.00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2545</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2622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136344.00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2872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268320.00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3230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77184.00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3293</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276084.00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3664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271584.00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3862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74916.00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3953</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4144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212976.00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4616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66696.00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4994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258444.00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4999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165168.00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5698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99216.00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6061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5148.00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6592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390660.00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6649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100260.00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7099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234336.00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7176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203940.00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7674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94488.00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8327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247728.00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8558</w:t>
            </w:r>
          </w:p>
        </w:tc>
        <w:tc>
          <w:p/>
          <w:p>
            <w:pPr>
              <w:jc w:val="left"/>
            </w:pPr>
            <w:r>
              <w:rPr>
                <w:rFonts w:ascii="Calibri"/>
                <w:color w:val="FF0000"/>
                <w:sz w:val="24"/>
              </w:rPr>
              <w:t>288360.00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8772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88272.00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8784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74352.00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8899</w:t>
            </w:r>
          </w:p>
        </w:tc>
        <w:tc>
          <w:p/>
          <w:p>
            <w:pPr>
              <w:jc w:val="left"/>
            </w:pPr>
            <w:r>
              <w:rPr>
                <w:rFonts w:ascii="Calibri"/>
                <w:color w:val="000000"/>
                <w:sz w:val="24"/>
              </w:rPr>
              <w:t>-</w:t>
            </w:r>
          </w:p>
        </w:tc>
        <w:tc>
          <w:p/>
          <w:p>
            <w:pPr>
              <w:jc w:val="left"/>
            </w:pPr>
            <w:r>
              <w:rPr>
                <w:rFonts w:ascii="Calibri"/>
                <w:color w:val="000000"/>
                <w:sz w:val="24"/>
              </w:rPr>
              <w:t>125340.00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8926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566640.00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9024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70656.00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9037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321936.00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9377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99936.00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9510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228276.00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9560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157068.00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9646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279072.00 (1)</w:t>
            </w:r>
          </w:p>
        </w:tc>
      </w:tr>
    </w:tbl>
    <w:p>
      <w:r>
        <w:rPr>
          <w:sz w:val="24"/>
        </w:rPr>
        <w:t>In this slide, we expand dimension account by drilling down from level 1 to level 0. For each cell we show both the Avg of amount and the number of tuples that correspond to it in parentheses. We highlight the 10 lowest values in blue and the 10 largest in red color.</w:t>
        <w:br/>
        <w:t>Some interesting findings include:</w:t>
        <w:br/>
        <w:t>Column 1998 has 5 of the 10 highest values.</w:t>
        <w:br/>
        <w:t>Column 1998 has 5 of the 10 lowest values.</w:t>
        <w:br/>
      </w:r>
    </w:p>
    <w:p>
      <w:r>
        <w:rPr>
          <w:b w:val="true"/>
          <w:sz w:val="48"/>
        </w:rPr>
        <w:t>Summary</w:t>
        <w:br/>
      </w:r>
      <w:r>
        <w:rPr>
          <w:sz w:val="28"/>
        </w:rPr>
        <w:t>-In this slide we summarize our findings.</w:t>
        <w:br/>
        <w:t>-</w:t>
        <w:br/>
        <w:t>-First, we tried to put the original result in context, by comparing its defining values with similar ones.</w:t>
        <w:br/>
        <w:t>-When we compared Running Contract/OK to its siblings, grouped by status and date, we observed the following:</w:t>
        <w:br/>
        <w:t>-</w:t>
        <w:br/>
        <w:t>-</w:t>
        <w:br/>
        <w:t>-Then we analyzed the results by drilling down one level in the hierarchy.</w:t>
        <w:br/>
        <w:t>-When we drilled down account, we observed the following facts:</w:t>
        <w:br/>
        <w:t>-</w:t>
        <w:br/>
        <w:t>-Column 1998 has 5 of the 10 highest values.</w:t>
        <w:br/>
        <w:t>-Column 1998 has 5 of the 10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2018-01-14T23:31:37Z</dcterms:created>
  <dc:creator>Apache POI</dc:creator>
</coreProperties>
</file>