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before="0" w:after="40" w:line="276" w:lineRule="auto"/>
        <w:jc w:val="center"/>
      </w:pPr>
      <w:r>
        <w:rPr>
          <w:rFonts w:ascii="Arial" w:cs="Arial" w:eastAsia="Arial" w:hAnsi="Arial"/>
          <w:b/>
          <w:bCs/>
          <w:color w:val="1B4332"/>
          <w:sz w:val="72"/>
          <w:szCs w:val="72"/>
        </w:rPr>
        <w:t xml:space="preserve">PLATAFORMA ALMA</w:t>
      </w:r>
    </w:p>
    <w:p>
      <w:pPr>
        <w:spacing w:before="0" w:after="20" w:line="276" w:lineRule="auto"/>
        <w:jc w:val="center"/>
      </w:pPr>
      <w:r>
        <w:rPr>
          <w:rFonts w:ascii="Arial" w:cs="Arial" w:eastAsia="Arial" w:hAnsi="Arial"/>
          <w:color w:val="2D6A4F"/>
          <w:sz w:val="30"/>
          <w:szCs w:val="30"/>
        </w:rPr>
        <w:t xml:space="preserve">Inteligencia Multimodal Adaptativa para Agricultura Regenerativa Tropical</w:t>
      </w:r>
    </w:p>
    <w:p>
      <w:pPr>
        <w:spacing w:before="0" w:after="80" w:line="276" w:lineRule="auto"/>
        <w:jc w:val="center"/>
      </w:pPr>
      <w:r>
        <w:rPr>
          <w:rFonts w:ascii="Arial" w:cs="Arial" w:eastAsia="Arial" w:hAnsi="Arial"/>
          <w:color w:val="264653"/>
          <w:sz w:val="24"/>
          <w:szCs w:val="24"/>
        </w:rPr>
        <w:t xml:space="preserve">Sistema Adaptativo de Control Cerrado · Aprendizaje Automático · Genómica In Situ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DOCUMENTO INTEGRAL: CIENTÍFICO · TECNOLÓGICO · FINANCIERO · AMBIENTAL · SOCIOECONÓMICO</w:t>
            </w:r>
          </w:p>
        </w:tc>
      </w:tr>
    </w:tbl>
    <w:p>
      <w:r>
        <w:rPr>
          <w:sz w:val="20"/>
          <w:szCs w:val="20"/>
        </w:rPr>
        <w:t xml:space="preserve"/>
      </w:r>
    </w:p>
    <w:p>
      <w:pPr>
        <w:spacing w:before="40" w:after="30" w:line="276" w:lineRule="auto"/>
        <w:jc w:val="center"/>
      </w:pPr>
      <w:r>
        <w:rPr>
          <w:rFonts w:ascii="Arial" w:cs="Arial" w:eastAsia="Arial" w:hAnsi="Arial"/>
          <w:b/>
          <w:bCs/>
          <w:color w:val="264653"/>
          <w:sz w:val="28"/>
          <w:szCs w:val="28"/>
        </w:rPr>
        <w:t xml:space="preserve">Cauca · Valle del Cauca · Eje Cafetero</w:t>
      </w:r>
    </w:p>
    <w:p>
      <w:pPr>
        <w:spacing w:before="20" w:after="20" w:line="276" w:lineRule="auto"/>
        <w:jc w:val="center"/>
      </w:pPr>
      <w:r>
        <w:rPr>
          <w:rFonts w:ascii="Arial" w:cs="Arial" w:eastAsia="Arial" w:hAnsi="Arial"/>
          <w:color w:val="495057"/>
          <w:sz w:val="23"/>
          <w:szCs w:val="23"/>
        </w:rPr>
        <w:t xml:space="preserve">90,000 Hectáreas  ·  30,000 Familias  ·  Horizonte 2026–2036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INVERSIÓN TOTAL</w:t>
            </w:r>
          </w:p>
        </w:tc>
        <w:tc>
          <w:tcPr>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VPN PROYECTADO</w:t>
            </w:r>
          </w:p>
        </w:tc>
        <w:tc>
          <w:tcPr>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EMPLEOS DIRECTOS</w:t>
            </w:r>
          </w:p>
        </w:tc>
        <w:tc>
          <w:tcPr>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CO₂ EVITADO</w:t>
            </w:r>
          </w:p>
        </w:tc>
      </w:tr>
      <w:tr>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bCs/>
                <w:color w:val="1B4332"/>
                <w:sz w:val="20"/>
                <w:szCs w:val="20"/>
              </w:rPr>
              <w:t xml:space="preserve">COP 1.05 B</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bCs/>
                <w:color w:val="1B4332"/>
                <w:sz w:val="20"/>
                <w:szCs w:val="20"/>
              </w:rPr>
              <w:t xml:space="preserve">+ COP 1.15 B (ALMA)</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bCs/>
                <w:color w:val="1B4332"/>
                <w:sz w:val="20"/>
                <w:szCs w:val="20"/>
              </w:rPr>
              <w:t xml:space="preserve">25,000+ formales</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bCs/>
                <w:color w:val="1B4332"/>
                <w:sz w:val="20"/>
                <w:szCs w:val="20"/>
              </w:rPr>
              <w:t xml:space="preserve">1.5 M ton/año</w:t>
            </w:r>
          </w:p>
        </w:tc>
      </w:tr>
      <w:tr>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val="false"/>
                <w:bCs w:val="false"/>
                <w:color w:val="2D6A4F"/>
                <w:sz w:val="20"/>
                <w:szCs w:val="20"/>
              </w:rPr>
              <w:t xml:space="preserve">Portafolio completo</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val="false"/>
                <w:bCs w:val="false"/>
                <w:color w:val="2D6A4F"/>
                <w:sz w:val="20"/>
                <w:szCs w:val="20"/>
              </w:rPr>
              <w:t xml:space="preserve">WACC 12.5% — VIABLE</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val="false"/>
                <w:bCs w:val="false"/>
                <w:color w:val="2D6A4F"/>
                <w:sz w:val="20"/>
                <w:szCs w:val="20"/>
              </w:rPr>
              <w:t xml:space="preserve">En plena operación</w:t>
            </w:r>
          </w:p>
        </w:tc>
        <w:tc>
          <w:tcPr>
            <w:tcW w:type="dxa" w:w="2340"/>
            <w:tcBorders>
              <w:top w:val="single" w:color="CCCCCC" w:sz="4"/>
              <w:left w:val="single" w:color="CCCCCC" w:sz="4"/>
              <w:bottom w:val="single" w:color="CCCCCC" w:sz="4"/>
              <w:right w:val="single" w:color="CCCCCC" w:sz="4"/>
            </w:tcBorders>
            <w:shd w:fill="D8F3DC" w:val="clear"/>
            <w:tcMar>
              <w:top w:type="dxa" w:w="80"/>
              <w:left w:type="dxa" w:w="120"/>
              <w:bottom w:type="dxa" w:w="80"/>
              <w:right w:type="dxa" w:w="120"/>
            </w:tcMar>
          </w:tcPr>
          <w:p>
            <w:pPr>
              <w:jc w:val="center"/>
            </w:pPr>
            <w:r>
              <w:rPr>
                <w:rFonts w:ascii="Arial" w:cs="Arial" w:eastAsia="Arial" w:hAnsi="Arial"/>
                <w:b w:val="false"/>
                <w:bCs w:val="false"/>
                <w:color w:val="2D6A4F"/>
                <w:sz w:val="20"/>
                <w:szCs w:val="20"/>
              </w:rPr>
              <w:t xml:space="preserve">Secuestro + reducción</w:t>
            </w:r>
          </w:p>
        </w:tc>
      </w:tr>
    </w:tbl>
    <w:p>
      <w:r>
        <w:rPr>
          <w:sz w:val="20"/>
          <w:szCs w:val="20"/>
        </w:rPr>
        <w:t xml:space="preserve"/>
      </w:r>
    </w:p>
    <w:p>
      <w:r>
        <w:rPr>
          <w:sz w:val="20"/>
          <w:szCs w:val="20"/>
        </w:rPr>
        <w:t xml:space="preserve"/>
      </w:r>
    </w:p>
    <w:p>
      <w:r>
        <w:rPr>
          <w:sz w:val="20"/>
          <w:szCs w:val="20"/>
        </w:rPr>
        <w:t xml:space="preserve"/>
      </w:r>
    </w:p>
    <w:p>
      <w:pPr>
        <w:jc w:val="center"/>
      </w:pPr>
      <w:r>
        <w:rPr>
          <w:rFonts w:ascii="Arial" w:cs="Arial" w:eastAsia="Arial" w:hAnsi="Arial"/>
          <w:color w:val="495057"/>
          <w:sz w:val="20"/>
          <w:szCs w:val="20"/>
        </w:rPr>
        <w:t xml:space="preserve">Autor: Alfredo Márquez Z.  ·  Compilación técnico-científica: Asistencia IA</w:t>
      </w:r>
    </w:p>
    <w:p>
      <w:pPr>
        <w:jc w:val="center"/>
      </w:pPr>
      <w:r>
        <w:rPr>
          <w:rFonts w:ascii="Arial" w:cs="Arial" w:eastAsia="Arial" w:hAnsi="Arial"/>
          <w:color w:val="495057"/>
          <w:sz w:val="20"/>
          <w:szCs w:val="20"/>
        </w:rPr>
        <w:t xml:space="preserve">Abril de 2026  ·  Versión 4.0 — Documento Integral Revisado con Arquitectura Científica</w:t>
      </w:r>
    </w:p>
    <w:p>
      <w:r>
        <w:br w:type="page"/>
      </w:r>
    </w:p>
    <w:p>
      <w:pPr>
        <w:spacing w:before="0" w:after="200" w:line="276" w:lineRule="auto"/>
        <w:jc w:val="center"/>
      </w:pPr>
      <w:r>
        <w:rPr>
          <w:rFonts w:ascii="Arial" w:cs="Arial" w:eastAsia="Arial" w:hAnsi="Arial"/>
          <w:b/>
          <w:bCs/>
          <w:color w:val="1B4332"/>
          <w:sz w:val="32"/>
          <w:szCs w:val="32"/>
        </w:rPr>
        <w:t xml:space="preserve">TABLA DE CONTENIDO</w:t>
      </w:r>
    </w:p>
    <w:p>
      <w:pPr>
        <w:spacing w:before="100" w:after="80" w:line="276" w:lineRule="auto"/>
        <w:jc w:val="center"/>
      </w:pPr>
      <w:r>
        <w:rPr>
          <w:rFonts w:ascii="Arial" w:cs="Arial" w:eastAsia="Arial" w:hAnsi="Arial"/>
          <w:b w:val="false"/>
          <w:bCs w:val="false"/>
          <w:color w:val="495057"/>
          <w:sz w:val="20"/>
          <w:szCs w:val="20"/>
        </w:rPr>
        <w:t xml:space="preserve">(Tabla de contenido generada automáticamente al abrir en Word: Referencias → Tabla de Contenido)</w:t>
      </w:r>
    </w:p>
    <w:p>
      <w:r>
        <w:br w:type="page"/>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D8F3DC" w:val="clear"/>
            <w:tcMar>
              <w:top w:type="dxa" w:w="160"/>
              <w:left w:type="dxa" w:w="240"/>
              <w:bottom w:type="dxa" w:w="160"/>
              <w:right w:type="dxa" w:w="160"/>
            </w:tcMar>
          </w:tcPr>
          <w:p>
            <w:pPr>
              <w:spacing w:before="0" w:after="0" w:line="276" w:lineRule="auto"/>
              <w:jc w:val="both"/>
            </w:pPr>
            <w:r>
              <w:rPr>
                <w:rFonts w:ascii="Arial" w:cs="Arial" w:eastAsia="Arial" w:hAnsi="Arial"/>
                <w:color w:val="1B4332"/>
                <w:sz w:val="21"/>
                <w:szCs w:val="21"/>
              </w:rPr>
              <w:t xml:space="preserve">«La Plataforma ALMA demuestra que la agricultura tropical puede ser reformulada como un sistema computacional adaptativo optimizable en tiempo real, donde biotecnología de frontera, justicia territorial y rentabilidad económica no son objetivos en tensión sino dimensiones que se refuerzan mutuamente en un modelo único de bioeconomía regenerativa para el suroccidente colombiano.»</w:t>
            </w:r>
          </w:p>
        </w:tc>
      </w:tr>
    </w:tbl>
    <w:p>
      <w:r>
        <w:rPr>
          <w:sz w:val="20"/>
          <w:szCs w:val="20"/>
        </w:rPr>
        <w:t xml:space="preserve"/>
      </w:r>
    </w:p>
    <w:p>
      <w:pPr>
        <w:spacing w:before="100" w:after="80" w:line="276" w:lineRule="auto"/>
        <w:jc w:val="both"/>
      </w:pPr>
      <w:r>
        <w:rPr>
          <w:rFonts w:ascii="Arial" w:cs="Arial" w:eastAsia="Arial" w:hAnsi="Arial"/>
          <w:b w:val="false"/>
          <w:bCs w:val="false"/>
          <w:color w:val="212529"/>
          <w:sz w:val="22"/>
          <w:szCs w:val="22"/>
        </w:rPr>
        <w:t xml:space="preserve">La Plataforma ALMA — Inteligencia Multimodal Adaptativa para Agricultura Regenerativa Tropical — representa la convergencia sin precedente entre biología computacional, ciencia de datos distribuidos y sistemas de control adaptativos aplicados a la agricultura tropical a escala de 90,000 hectáreas. No es un proyecto de extensión agropecuaria convencional que lleva paquetes tecnológicos a nuevas zonas: es un sistema de innovación abierto que opera como un organismo tecnológico que aprende, se adapta y toma decisiones en tiempo real sobre los sistemas agrícolas del suroccidente colombiano.</w:t>
      </w:r>
    </w:p>
    <w:p>
      <w:pPr>
        <w:spacing w:before="100" w:after="80" w:line="276" w:lineRule="auto"/>
        <w:jc w:val="both"/>
      </w:pPr>
      <w:r>
        <w:rPr>
          <w:rFonts w:ascii="Arial" w:cs="Arial" w:eastAsia="Arial" w:hAnsi="Arial"/>
          <w:b w:val="false"/>
          <w:bCs w:val="false"/>
          <w:color w:val="212529"/>
          <w:sz w:val="22"/>
          <w:szCs w:val="22"/>
        </w:rPr>
        <w:t xml:space="preserve">Desde la perspectiva científica, ALMA opera como un Proceso de Decisión de Markov (MDP) donde el estado del sistema agrícola St+1 = f(St, At, Et) + εt es continuamente observado por 45,000 sensores IoT y 30 drones multiespectrales, analizado por la plataforma de IA Neuralzoo, y optimizado mediante una política π*(a|s) que maximiza simultáneamente productividad, sostenibilidad ambiental y bienestar social. Desde la perspectiva financiera, el portafolio de tres cultivos oleaginosos estratégicos apoyados por la plataforma tecnológica arroja un VPN consolidado superior a COP 1.15 billones en el escenario ALMA, con una TIR ponderada del 30.5%, muy por encima del WACC de 12.5%.</w:t>
      </w:r>
    </w:p>
    <w:p>
      <w:pPr>
        <w:pStyle w:val="Heading2"/>
        <w:spacing w:before="280" w:after="140" w:line="276" w:lineRule="auto"/>
      </w:pPr>
      <w:r>
        <w:rPr>
          <w:rFonts w:ascii="Arial" w:cs="Arial" w:eastAsia="Arial" w:hAnsi="Arial"/>
          <w:b/>
          <w:bCs/>
          <w:color w:val="2D6A4F"/>
          <w:sz w:val="29"/>
          <w:szCs w:val="29"/>
        </w:rPr>
        <w:t xml:space="preserve">1.1 Síntesis de los Componentes Estratégicos</w:t>
      </w:r>
    </w:p>
    <w:p>
      <w:pPr>
        <w:spacing w:before="100" w:after="80" w:line="276" w:lineRule="auto"/>
        <w:jc w:val="both"/>
      </w:pPr>
      <w:r>
        <w:rPr>
          <w:rFonts w:ascii="Arial" w:cs="Arial" w:eastAsia="Arial" w:hAnsi="Arial"/>
          <w:b w:val="false"/>
          <w:bCs w:val="false"/>
          <w:color w:val="212529"/>
          <w:sz w:val="22"/>
          <w:szCs w:val="22"/>
        </w:rPr>
        <w:t xml:space="preserve">La plataforma articula seis grandes componentes que se refuerzan mutuamente en un sistema de bioeconomía circular computacional: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Estratégico</w:t>
            </w:r>
          </w:p>
        </w:tc>
        <w:tc>
          <w:tcPr>
            <w:tcW w:type="dxa" w:w="73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Arquitectura Científica ALMA</w:t>
            </w:r>
          </w:p>
        </w:tc>
        <w:tc>
          <w:tcPr>
            <w:tcW w:type="dxa" w:w="7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Sistema de control cerrado (MDP) que integra adquisición multimodal D={Xs,Xr,Xg,Xc,Xp}, ingeniería de características Z=φ(X), aprendizaje adaptativo con detección de deriva conceptual, y política óptima π*(a|s) para 90,000 ha tropicales.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Plataforma Tecnológica ALMA</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Inteligencia artificial (Neuralzoo), secuenciación genómica in situ (MinION de Oxford Nanopore), 45,000 nodos WSN/LoRaWAN, 30 drones multiespectrales, SIG y computación en el borde con aprendizaje federado.</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Portafolio Agroindustrial</w:t>
            </w:r>
          </w:p>
        </w:tc>
        <w:tc>
          <w:tcPr>
            <w:tcW w:type="dxa" w:w="7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Higuerilla (40,000 ha), Sacha Inchi (20,000 ha), Jatrofa (20,000 ha) y 63 cultivos complementarios para un total de 90,000 hectáreas con modelos financieros detallados por cultivo, escenario BASE y escenario ALMA.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Organización Territorial</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30,000 Unidades Agrícolas Familiares (UAF, 3 ha c/u), múltiples Unidades Agrícolas Investigativas (UAI, 50-100 ha) y Unidades Agrícolas Productivas (UAP, 500-2,000 ha) con gobernanza participativa y Consejos Territoriales por subregión.</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Zona Franca Biotecnológica ALMA</w:t>
            </w:r>
          </w:p>
        </w:tc>
        <w:tc>
          <w:tcPr>
            <w:tcW w:type="dxa" w:w="7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Régimen especial territorial (Decreto-Ley 2147/2016) para I+D, transformación industrial, logística y exportación con tasa impuesto 20%, exención IVA equipos científicos y simplificación aduanera para exportación pharma-grade.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Economía Circular Energética y Carbono</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 MWp energía solar fotovoltaica, 200 biodigestores modulares, créditos de carbono VM0017 Verra, reducción documentada de 1.5+ millones tCO₂e/año en plena operación y aprendizaje por refuerzo para optimizar decisiones agronómicas de largo plazo.</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1.2 Indicadores Financieros Consolidados del Portafolio</w:t>
      </w:r>
    </w:p>
    <w:p>
      <w:pPr>
        <w:spacing w:before="100" w:after="80" w:line="276" w:lineRule="auto"/>
        <w:jc w:val="both"/>
      </w:pPr>
      <w:r>
        <w:rPr>
          <w:rFonts w:ascii="Arial" w:cs="Arial" w:eastAsia="Arial" w:hAnsi="Arial"/>
          <w:b w:val="false"/>
          <w:bCs w:val="false"/>
          <w:color w:val="212529"/>
          <w:sz w:val="22"/>
          <w:szCs w:val="22"/>
        </w:rPr>
        <w:t xml:space="preserve">El portafolio agroindustrial de los tres cultivos oleaginosos estratégicos, optimizado por la Plataforma ALMA, arroja los siguientes indicadores financieros clave a una tasa de descuento WACC del 12.5% y un horizonte de proyección de 10 años (2026-2035), con TRM de $3,674 COP/USD (Marzo 2026). Se presentan ambos escenarios: BASE (sin tecnología ALMA) y ALMA (con plataforma completa):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400"/>
        <w:gridCol w:w="1400"/>
        <w:gridCol w:w="1400"/>
        <w:gridCol w:w="900"/>
        <w:gridCol w:w="900"/>
        <w:gridCol w:w="900"/>
        <w:gridCol w:w="860"/>
      </w:tblGrid>
      <w:tr>
        <w:trPr>
          <w:tblHeader/>
        </w:trPr>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Proyecto</w:t>
            </w:r>
          </w:p>
        </w:tc>
        <w:tc>
          <w:tcPr>
            <w:tcW w:type="dxa" w:w="8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Área</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(COP MM)</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VPN BASE (COP MM)</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VPN ALMA (COP MM)</w:t>
            </w:r>
          </w:p>
        </w:tc>
        <w:tc>
          <w:tcPr>
            <w:tcW w:type="dxa" w:w="9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TIR BASE</w:t>
            </w:r>
          </w:p>
        </w:tc>
        <w:tc>
          <w:tcPr>
            <w:tcW w:type="dxa" w:w="9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TIR ALMA</w:t>
            </w:r>
          </w:p>
        </w:tc>
        <w:tc>
          <w:tcPr>
            <w:tcW w:type="dxa" w:w="9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Payback BASE</w:t>
            </w:r>
          </w:p>
        </w:tc>
        <w:tc>
          <w:tcPr>
            <w:tcW w:type="dxa" w:w="8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Payback ALMA</w:t>
            </w:r>
          </w:p>
        </w:tc>
      </w:tr>
      <w:tr>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Higuerilla</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40,000 ha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489,200</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128,081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~590,000</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17.8%</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30.5%</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2032</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2031</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Sacha Inchi</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20,000 ha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264,500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417,715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~520,000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37.6%</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42.0%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2031</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2030</w:t>
            </w:r>
          </w:p>
        </w:tc>
      </w:tr>
      <w:tr>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Jatrofa</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20,000 ha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182,700</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20,794</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~45,000</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14.6%</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19.5%</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2033</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565C0"/>
                <w:sz w:val="20"/>
                <w:szCs w:val="20"/>
              </w:rPr>
              <w:t xml:space="preserve">2032</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PORTAFOLIO 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80,000 ha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936,400 + 45,200 tech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566,590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~1,155,000</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23.3%*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30.7%+*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2032*</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2031*</w:t>
            </w:r>
          </w:p>
        </w:tc>
      </w:tr>
    </w:tbl>
    <w:p>
      <w:pPr>
        <w:spacing w:before="40" w:after="80" w:line="276" w:lineRule="auto"/>
        <w:jc w:val="both"/>
      </w:pPr>
      <w:r>
        <w:rPr>
          <w:rFonts w:ascii="Arial" w:cs="Arial" w:eastAsia="Arial" w:hAnsi="Arial"/>
          <w:b w:val="false"/>
          <w:bCs w:val="false"/>
          <w:color w:val="495057"/>
          <w:sz w:val="18"/>
          <w:szCs w:val="18"/>
        </w:rPr>
        <w:t xml:space="preserve">* Valores ponderados por área y CAPEX para el portafolio consolidado.</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2. DIAGNÓSTICO REGIONAL: CAUCA, VALLE DEL CAUCA Y EJE CAFETERO</w:t>
      </w:r>
    </w:p>
    <w:p>
      <w:pPr>
        <w:spacing w:before="100" w:after="80" w:line="276" w:lineRule="auto"/>
        <w:jc w:val="both"/>
      </w:pPr>
      <w:r>
        <w:rPr>
          <w:rFonts w:ascii="Arial" w:cs="Arial" w:eastAsia="Arial" w:hAnsi="Arial"/>
          <w:b w:val="false"/>
          <w:bCs w:val="false"/>
          <w:color w:val="212529"/>
          <w:sz w:val="22"/>
          <w:szCs w:val="22"/>
        </w:rPr>
        <w:t xml:space="preserve">El análisis riguroso del territorio de intervención es el punto de partida indispensable para comprender por qué la Plataforma ALMA es necesaria y por qué su escala tecnológica está justificada. El suroccidente colombiano presenta una paradoja estructural profunda: es una región con extraordinaria biodiversidad, microclimas únicos, posición estratégica en el Pacífico y capital humano resiliente, pero que registra índices de pobreza rural superiores al 70% en varios municipios, persistencia del conflicto armado, degradación ambiental acelerada y rezago tecnológico severo. La Plataforma ALMA aborda esta paradoja desde sus raíces estructurales.</w:t>
      </w:r>
    </w:p>
    <w:p>
      <w:pPr>
        <w:pStyle w:val="Heading2"/>
        <w:spacing w:before="280" w:after="140" w:line="276" w:lineRule="auto"/>
      </w:pPr>
      <w:r>
        <w:rPr>
          <w:rFonts w:ascii="Arial" w:cs="Arial" w:eastAsia="Arial" w:hAnsi="Arial"/>
          <w:b/>
          <w:bCs/>
          <w:color w:val="2D6A4F"/>
          <w:sz w:val="29"/>
          <w:szCs w:val="29"/>
        </w:rPr>
        <w:t xml:space="preserve">2.1 Contexto Geográfico y Edafoclimático</w:t>
      </w:r>
    </w:p>
    <w:p>
      <w:pPr>
        <w:spacing w:before="100" w:after="80" w:line="276" w:lineRule="auto"/>
        <w:jc w:val="both"/>
      </w:pPr>
      <w:r>
        <w:rPr>
          <w:rFonts w:ascii="Arial" w:cs="Arial" w:eastAsia="Arial" w:hAnsi="Arial"/>
          <w:b w:val="false"/>
          <w:bCs w:val="false"/>
          <w:color w:val="212529"/>
          <w:sz w:val="22"/>
          <w:szCs w:val="22"/>
        </w:rPr>
        <w:t xml:space="preserve">Los tres departamentos que conforman el área de intervención de ALMA presentan una diversidad biofísica excepcional que constituye una ventaja comparativa de primer orden para la implementación de un sistema de inteligencia agrícola multimodal y un portafolio de cultivos diversificado: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400"/>
        <w:gridCol w:w="1400"/>
        <w:gridCol w:w="1300"/>
        <w:gridCol w:w="2560"/>
      </w:tblGrid>
      <w:tr>
        <w:trPr>
          <w:tblHeader/>
        </w:trPr>
        <w:tc>
          <w:tcPr>
            <w:tcW w:type="dxa" w:w="16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Departamento</w:t>
            </w:r>
          </w:p>
        </w:tc>
        <w:tc>
          <w:tcPr>
            <w:tcW w:type="dxa" w:w="11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Área Total</w:t>
            </w:r>
          </w:p>
        </w:tc>
        <w:tc>
          <w:tcPr>
            <w:tcW w:type="dxa" w:w="14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Pisos Térmicos</w:t>
            </w:r>
          </w:p>
        </w:tc>
        <w:tc>
          <w:tcPr>
            <w:tcW w:type="dxa" w:w="14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Precipitación</w:t>
            </w:r>
          </w:p>
        </w:tc>
        <w:tc>
          <w:tcPr>
            <w:tcW w:type="dxa" w:w="13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Temperatura Media</w:t>
            </w:r>
          </w:p>
        </w:tc>
        <w:tc>
          <w:tcPr>
            <w:tcW w:type="dxa" w:w="25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Vocación Agrícola Principal</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Cauca</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29,308 km²</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0–4,700 msnm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500–4,000 mm/año</w:t>
            </w:r>
          </w:p>
        </w:tc>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8–28°C</w:t>
            </w:r>
          </w:p>
        </w:tc>
        <w:tc>
          <w:tcPr>
            <w:tcW w:type="dxa" w:w="2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Cacao, panela, hortalizas, restauración ecológica</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Valle del Cauca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22,140 km²</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0–4,100 msnm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900–3,500 mm/año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15–30°C</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Caña, café, aguacate, frutas tropicales, hortalizas</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Eje Cafetero</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13,873 km²</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1,200–3,800 msnm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1,800–3,200 mm/año</w:t>
            </w:r>
          </w:p>
        </w:tc>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14–24°C</w:t>
            </w:r>
          </w:p>
        </w:tc>
        <w:tc>
          <w:tcPr>
            <w:tcW w:type="dxa" w:w="2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Café especial, plátano, cítricos, flores, musáceas</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2.2 Problemática Socioeconómica</w:t>
      </w:r>
    </w:p>
    <w:p>
      <w:pPr>
        <w:spacing w:before="100" w:after="80" w:line="276" w:lineRule="auto"/>
        <w:jc w:val="both"/>
      </w:pPr>
      <w:r>
        <w:rPr>
          <w:rFonts w:ascii="Arial" w:cs="Arial" w:eastAsia="Arial" w:hAnsi="Arial"/>
          <w:b w:val="false"/>
          <w:bCs w:val="false"/>
          <w:color w:val="212529"/>
          <w:sz w:val="22"/>
          <w:szCs w:val="22"/>
        </w:rPr>
        <w:t xml:space="preserve">La región atraviesa una crisis socioeconómica multidimensional que no puede abordarse con intervenciones sectoriales parciales. El análisis sistémico revela cuatro nudos críticos que la Plataforma ALMA está diseñada específicamente para atacar:</w:t>
      </w:r>
    </w:p>
    <w:p>
      <w:pPr>
        <w:pStyle w:val="Heading3"/>
        <w:spacing w:before="220" w:after="100" w:line="276" w:lineRule="auto"/>
      </w:pPr>
      <w:r>
        <w:rPr>
          <w:rFonts w:ascii="Arial" w:cs="Arial" w:eastAsia="Arial" w:hAnsi="Arial"/>
          <w:b/>
          <w:bCs/>
          <w:color w:val="264653"/>
          <w:sz w:val="25"/>
          <w:szCs w:val="25"/>
        </w:rPr>
        <w:t xml:space="preserve">2.2.1 Pobreza Rural y Desigualdad</w:t>
      </w:r>
    </w:p>
    <w:p>
      <w:pPr>
        <w:spacing w:before="100" w:after="80" w:line="276" w:lineRule="auto"/>
        <w:jc w:val="both"/>
      </w:pPr>
      <w:r>
        <w:rPr>
          <w:rFonts w:ascii="Arial" w:cs="Arial" w:eastAsia="Arial" w:hAnsi="Arial"/>
          <w:b w:val="false"/>
          <w:bCs w:val="false"/>
          <w:color w:val="212529"/>
          <w:sz w:val="22"/>
          <w:szCs w:val="22"/>
        </w:rPr>
        <w:t xml:space="preserve">El Índice de Pobreza Multidimensional (IPM) del área rural de Cauca alcanzó el 68.4% según el DANE en 2023, mientras que en el Eje Cafetero la desigualdad entre zonas urbanas y rurales se ha profundizado desde la crisis caficultora de los años noventa. El coeficiente de Gini rural del Valle del Cauca supera el 0.45, evidenciando una concentración de la tierra y del capital que históricamente ha excluido a los pequeños productores de los beneficios de una de las regiones agrícolas más productivas del país. La brecha de ingresos entre agricultores que adoptan tecnología y quienes no lo hacen ha crecido al 3.2x en la última década (DANE, 2024), lo que significa que la tecnología no solo es deseable sino que es hoy el principal determinante de la viabilidad económica rural.</w:t>
      </w:r>
    </w:p>
    <w:p>
      <w:pPr>
        <w:pStyle w:val="Heading3"/>
        <w:spacing w:before="220" w:after="100" w:line="276" w:lineRule="auto"/>
      </w:pPr>
      <w:r>
        <w:rPr>
          <w:rFonts w:ascii="Arial" w:cs="Arial" w:eastAsia="Arial" w:hAnsi="Arial"/>
          <w:b/>
          <w:bCs/>
          <w:color w:val="264653"/>
          <w:sz w:val="25"/>
          <w:szCs w:val="25"/>
        </w:rPr>
        <w:t xml:space="preserve">2.2.2 Conflicto Armado y Tenencia de la Tierra</w:t>
      </w:r>
    </w:p>
    <w:p>
      <w:pPr>
        <w:spacing w:before="100" w:after="80" w:line="276" w:lineRule="auto"/>
        <w:jc w:val="both"/>
      </w:pPr>
      <w:r>
        <w:rPr>
          <w:rFonts w:ascii="Arial" w:cs="Arial" w:eastAsia="Arial" w:hAnsi="Arial"/>
          <w:b w:val="false"/>
          <w:bCs w:val="false"/>
          <w:color w:val="212529"/>
          <w:sz w:val="22"/>
          <w:szCs w:val="22"/>
        </w:rPr>
        <w:t xml:space="preserve">El Cauca es el departamento con mayor número de municipios con presencia de grupos armados ilegales según el INDEPAZ (2025), lo que genera desplazamiento forzado, inseguridad jurídica sobre la tenencia de la tierra y desincentivo estructural a la inversión productiva sostenible. Se estima que más de 280,000 hectáreas en la región tienen conflictos de uso del suelo o están en territorios colectivos sin titulación formal. La Plataforma ALMA reconoce que sin seguridad jurídica de la tierra y sin acompañamiento tecnológico que reduzca el riesgo productivo, ningún modelo de inversión puede ser sostenible en estas condiciones.</w:t>
      </w:r>
    </w:p>
    <w:p>
      <w:pPr>
        <w:pStyle w:val="Heading3"/>
        <w:spacing w:before="220" w:after="100" w:line="276" w:lineRule="auto"/>
      </w:pPr>
      <w:r>
        <w:rPr>
          <w:rFonts w:ascii="Arial" w:cs="Arial" w:eastAsia="Arial" w:hAnsi="Arial"/>
          <w:b/>
          <w:bCs/>
          <w:color w:val="264653"/>
          <w:sz w:val="25"/>
          <w:szCs w:val="25"/>
        </w:rPr>
        <w:t xml:space="preserve">2.2.3 Degradación Edáfica y Crisis Climática</w:t>
      </w:r>
    </w:p>
    <w:p>
      <w:pPr>
        <w:spacing w:before="100" w:after="80" w:line="276" w:lineRule="auto"/>
        <w:jc w:val="both"/>
      </w:pPr>
      <w:r>
        <w:rPr>
          <w:rFonts w:ascii="Arial" w:cs="Arial" w:eastAsia="Arial" w:hAnsi="Arial"/>
          <w:b w:val="false"/>
          <w:bCs w:val="false"/>
          <w:color w:val="212529"/>
          <w:sz w:val="22"/>
          <w:szCs w:val="22"/>
        </w:rPr>
        <w:t xml:space="preserve">Décadas de monocultivos intensivos —caña de azúcar en el valle geográfico, café de sol sin sombrío en las laderas, ganadería extensiva en las tierras bajas— han provocado una pérdida estimada del 35% de la materia orgánica del suelo en las últimas tres décadas (IGAC, 2024). Esta degradación es precisamente el tipo de condición no estacionaria P(X,y,t) ≠ constante para la que los enfoques agrícolas convencionales fallan: los modelos de fertilización calibrados en suelos sanos no sirven para suelos degradados, y las recomendaciones agronómicas genéricas no capturan la variabilidad espacial de la degradación. La Plataforma ALMA, con sus 45,000 sensores y análisis metagenómico MinION, puede cartografiar y responder a esta variabilidad en tiempo real.</w:t>
      </w:r>
    </w:p>
    <w:p>
      <w:pPr>
        <w:pStyle w:val="Heading3"/>
        <w:spacing w:before="220" w:after="100" w:line="276" w:lineRule="auto"/>
      </w:pPr>
      <w:r>
        <w:rPr>
          <w:rFonts w:ascii="Arial" w:cs="Arial" w:eastAsia="Arial" w:hAnsi="Arial"/>
          <w:b/>
          <w:bCs/>
          <w:color w:val="264653"/>
          <w:sz w:val="25"/>
          <w:szCs w:val="25"/>
        </w:rPr>
        <w:t xml:space="preserve">2.2.4 Brecha Tecnológica y Fragmentación Digital</w:t>
      </w:r>
    </w:p>
    <w:p>
      <w:pPr>
        <w:spacing w:before="100" w:after="80" w:line="276" w:lineRule="auto"/>
        <w:jc w:val="both"/>
      </w:pPr>
      <w:r>
        <w:rPr>
          <w:rFonts w:ascii="Arial" w:cs="Arial" w:eastAsia="Arial" w:hAnsi="Arial"/>
          <w:b w:val="false"/>
          <w:bCs w:val="false"/>
          <w:color w:val="212529"/>
          <w:sz w:val="22"/>
          <w:szCs w:val="22"/>
        </w:rPr>
        <w:t xml:space="preserve">La adopción de tecnologías de precisión en la región es marginal: menos del 3% de los productores agrícolas utiliza sensores de suelo, drones o modelos predictivos para la toma de decisiones agronómicas (Agronet, 2025). El acceso a conectividad de alta velocidad en zonas rurales es inferior al 18% en el Cauca, lo que limita la digitalización del sector. Esta brecha no es solo un problema de infraestructura: es un problema de modelos pedagógicos, de disponibilidad de tecnología apropiada para condiciones rurales de baja conectividad, y de ausencia de plataformas que integren datos heterogéneos en recomendaciones accionables. La arquitectura de edge computing de ALMA, que opera sin internet en modo local, fue diseñada específicamente para estas condiciones.</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2.3 Potencial Productivo sin Explotar</w:t>
      </w:r>
    </w:p>
    <w:p>
      <w:pPr>
        <w:spacing w:before="100" w:after="80" w:line="276" w:lineRule="auto"/>
        <w:jc w:val="both"/>
      </w:pPr>
      <w:r>
        <w:rPr>
          <w:rFonts w:ascii="Arial" w:cs="Arial" w:eastAsia="Arial" w:hAnsi="Arial"/>
          <w:b w:val="false"/>
          <w:bCs w:val="false"/>
          <w:color w:val="212529"/>
          <w:sz w:val="22"/>
          <w:szCs w:val="22"/>
        </w:rPr>
        <w:t xml:space="preserve">Más allá de los problemas estructurales, la región posee activos extraordinarios que hacen de ella el territorio más prometedor de Colombia para la implementación de un sistema de bioeconomía regenerativa de la escala y sofisticación de la Plataforma ALMA: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Activo Estratégico</w:t>
            </w:r>
          </w:p>
        </w:tc>
        <w:tc>
          <w:tcPr>
            <w:tcW w:type="dxa" w:w="75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Potencial y Relevancia para ALMA</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Biodiversidad excepcional</w:t>
            </w:r>
          </w:p>
        </w:tc>
        <w:tc>
          <w:tcPr>
            <w:tcW w:type="dxa" w:w="7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El suroccidente alberga más de 8,000 especies de plantas vasculares, de las cuales al menos 200 tienen potencial nutracéutico, farmacológico o industrial. MinION puede caracterizar esta biodiversidad en tiempo real, identificando variedades locales superiores sin esperar años de ensayos de campo convencionales.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Microclimas y gradientes altitudinales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La variedad 0-4,700 msnm permite producir simultáneamente cultivos tropicales, subtropicales y de altura. Los sensores WSN y el SIG de ALMA pueden optimizar la asignación de cultivos por microclima con precisión de 25 cm/píxel, maximizando el rendimiento por hectárea según aptitud real del suelo.</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Disponibilidad hídrica</w:t>
            </w:r>
          </w:p>
        </w:tc>
        <w:tc>
          <w:tcPr>
            <w:tcW w:type="dxa" w:w="7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Las cuencas del Cauca, Patía, San Juan y Magdalena nacen o transitan por la región. El sistema de riego de precisión basado en datos WSN de ALMA puede sostener irrigación eficiente reduciendo el consumo en 30-40% vs. riego convencional, sin comprometer ecosistemas estratégicos.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Capital humano y alianzas universitarias</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Unicauca, Univalle, Universidad de Caldas, UNAL Palmira y UTP constituyen un ecosistema académico de alta calidad. ALMA los integra como socios de investigación para las UAI, generando conocimiento científico publicable que valida el modelo y atrae cooperación internacional.</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Posición geográfica y logística</w:t>
            </w:r>
          </w:p>
        </w:tc>
        <w:tc>
          <w:tcPr>
            <w:tcW w:type="dxa" w:w="7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La proximidad al Puerto de Buenaventura —el más importante del Pacífico colombiano— y la Zona Franca en Palmira posicionan a la región como hub de exportación de bioeconomía. La certificación blockchain de ALMA conecta directamente el campo con los compradores de mayor valor en Europa, EE.UU. y Japón.</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3. MARCO CIENTÍFICO-TECNOLÓGICO: PLATAFORMA ALMA</w:t>
      </w:r>
    </w:p>
    <w:p>
      <w:pPr>
        <w:spacing w:before="100" w:after="80" w:line="276" w:lineRule="auto"/>
        <w:jc w:val="both"/>
      </w:pPr>
      <w:r>
        <w:rPr>
          <w:rFonts w:ascii="Arial" w:cs="Arial" w:eastAsia="Arial" w:hAnsi="Arial"/>
          <w:b w:val="false"/>
          <w:bCs w:val="false"/>
          <w:color w:val="212529"/>
          <w:sz w:val="22"/>
          <w:szCs w:val="22"/>
        </w:rPr>
        <w:t xml:space="preserve">La Plataforma ALMA es, en su esencia, un sistema adaptativo multimodal de control cerrado para agricultura tropical. Su diferencia fundamental con cualquier iniciativa de desarrollo rural convencional no reside en tener más tecnología, sino en haber integrado biotecnología, ciencia de datos y sistemas de control en una arquitectura coherente que aprende continuamente de su entorno. Esta sección describe los componentes con el rigor matemático y científico que su complejidad exige, manteniendo puentes hacia las aplicaciones agronómicas concretas.</w:t>
      </w:r>
    </w:p>
    <w:p>
      <w:pPr>
        <w:spacing w:before="160" w:after="80" w:line="276" w:lineRule="auto"/>
        <w:jc w:val="center"/>
      </w:pPr>
      <w:r>
        <w:drawing>
          <wp:inline distT="0" distB="0" distL="0" distR="0">
            <wp:extent cx="5524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143750"/>
                    </a:xfrm>
                    <a:prstGeom prst="rect">
                      <a:avLst/>
                    </a:prstGeom>
                  </pic:spPr>
                </pic:pic>
              </a:graphicData>
            </a:graphic>
          </wp:inline>
        </w:drawing>
      </w:r>
    </w:p>
    <w:p>
      <w:pPr>
        <w:spacing w:before="60" w:after="160" w:line="276" w:lineRule="auto"/>
        <w:jc w:val="center"/>
      </w:pPr>
      <w:r>
        <w:rPr>
          <w:rFonts w:ascii="Arial" w:cs="Arial" w:eastAsia="Arial" w:hAnsi="Arial"/>
          <w:b w:val="false"/>
          <w:bCs w:val="false"/>
          <w:color w:val="495057"/>
          <w:sz w:val="19"/>
          <w:szCs w:val="19"/>
        </w:rPr>
        <w:t xml:space="preserve">Figura 1. Arquitectura sistémica de la Plataforma ALMA: cuatro capas funcionales desde la adquisición multimodal de datos hasta la acción adaptativa en campo, con infraestructura de borde y nube.</w:t>
      </w:r>
    </w:p>
    <w:p>
      <w:pPr>
        <w:pStyle w:val="Heading2"/>
        <w:spacing w:before="280" w:after="140" w:line="276" w:lineRule="auto"/>
      </w:pPr>
      <w:r>
        <w:rPr>
          <w:rFonts w:ascii="Arial" w:cs="Arial" w:eastAsia="Arial" w:hAnsi="Arial"/>
          <w:b/>
          <w:bCs/>
          <w:color w:val="2D6A4F"/>
          <w:sz w:val="29"/>
          <w:szCs w:val="29"/>
        </w:rPr>
        <w:t xml:space="preserve">3.1 Modelo Conceptual: El Sistema Agrícola como MDP</w:t>
      </w:r>
    </w:p>
    <w:p>
      <w:pPr>
        <w:pStyle w:val="Heading3"/>
        <w:spacing w:before="220" w:after="100" w:line="276" w:lineRule="auto"/>
      </w:pPr>
      <w:r>
        <w:rPr>
          <w:rFonts w:ascii="Arial" w:cs="Arial" w:eastAsia="Arial" w:hAnsi="Arial"/>
          <w:b/>
          <w:bCs/>
          <w:color w:val="264653"/>
          <w:sz w:val="25"/>
          <w:szCs w:val="25"/>
        </w:rPr>
        <w:t xml:space="preserve">3.1.1 Formulación Matemática</w:t>
      </w:r>
    </w:p>
    <w:p>
      <w:pPr>
        <w:spacing w:before="100" w:after="80" w:line="276" w:lineRule="auto"/>
        <w:jc w:val="both"/>
      </w:pPr>
      <w:r>
        <w:rPr>
          <w:rFonts w:ascii="Arial" w:cs="Arial" w:eastAsia="Arial" w:hAnsi="Arial"/>
          <w:b w:val="false"/>
          <w:bCs w:val="false"/>
          <w:color w:val="212529"/>
          <w:sz w:val="22"/>
          <w:szCs w:val="22"/>
        </w:rPr>
        <w:t xml:space="preserve">El sistema agrícola gestionado por ALMA se modela como un Proceso de Decisión de Markov (MDP) definido por la tupla (S, A, P, R, γ). La dinámica del sistema satisface la ecuación de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E3F2FD" w:val="clear"/>
            <w:tcMar>
              <w:top w:type="dxa" w:w="160"/>
              <w:left w:type="dxa" w:w="240"/>
              <w:bottom w:type="dxa" w:w="160"/>
              <w:right w:type="dxa" w:w="160"/>
            </w:tcMar>
          </w:tcPr>
          <w:p>
            <w:pPr>
              <w:spacing w:before="0" w:after="0" w:line="276" w:lineRule="auto"/>
              <w:jc w:val="both"/>
            </w:pPr>
            <w:r>
              <w:rPr>
                <w:rFonts w:ascii="Arial" w:cs="Arial" w:eastAsia="Arial" w:hAnsi="Arial"/>
                <w:color w:val="0D47A1"/>
                <w:sz w:val="21"/>
                <w:szCs w:val="21"/>
              </w:rPr>
              <w:t xml:space="preserve">St+1 = f(St, At, Et) + εt
St : Estado del sistema — vector multidimensional que incluye variables de suelo (humedad, pH, conductividad, materia orgánica, microbioma), planta (NDVI, NDRE, estadío fenológico, carga patogénica detectada por MinION) y microclima (temperatura, precipitación, ET₀, radiación PAR).
At : Acciones disponibles — riego (volumen, timing, punto de entrega), fertilización (dosis NPK, micronutrientes, biofertilizante), aplicación de biocontroladores, programación de cosecha.
Et : Entorno externo — clima regional, precios internacionales de commodities, disponibilidad de mano de obra, condiciones de seguridad en el territorio.
εt : Ruido estocástico — incertidumbre inherente en sistemas biológicos y climáticos tropicales.
Objetivo: Aprender π*(a|s) = argmax_π E[Σ γᵗ R(St, At)] — política óptima que maximiza la función de recompensa multidimensional que integra rendimiento agrícola, costos, sostenibilidad ambiental y bienestar social de las familias UAF.</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3.1.2 El Problema de No-Estacionariedad Tropical</w:t>
      </w:r>
    </w:p>
    <w:p>
      <w:pPr>
        <w:spacing w:before="100" w:after="80" w:line="276" w:lineRule="auto"/>
        <w:jc w:val="both"/>
      </w:pPr>
      <w:r>
        <w:rPr>
          <w:rFonts w:ascii="Arial" w:cs="Arial" w:eastAsia="Arial" w:hAnsi="Arial"/>
          <w:b w:val="false"/>
          <w:bCs w:val="false"/>
          <w:color w:val="212529"/>
          <w:sz w:val="22"/>
          <w:szCs w:val="22"/>
        </w:rPr>
        <w:t xml:space="preserve">La agricultura tropical enfrenta el desafío crítico de la no-estacionariedad: P(X, y, t) ≠ constante. La distribución conjunta de las variables agrícolas cambia con las estaciones, con los ciclos ENSO, con la evolución del microbioma edáfico y con la resistencia adaptativa de los patógenos. Los enfoques convencionales que asumen condiciones estáticas —tablas de fertilización fijas, calendarios de riego por fecha, umbrales de intervención fitosanitaria genéricos— fallan sistemáticamente en estos entornos dinámicos. ALMA resuelve este problema mediante:</w:t>
      </w:r>
    </w:p>
    <w:p>
      <w:pPr>
        <w:pStyle w:val="ListParagraph"/>
        <w:numPr>
          <w:ilvl w:val="0"/>
          <w:numId w:val="2"/>
        </w:numPr>
        <w:spacing w:before="60" w:after="60" w:line="276" w:lineRule="auto"/>
      </w:pPr>
      <w:r>
        <w:rPr>
          <w:rFonts w:ascii="Arial" w:cs="Arial" w:eastAsia="Arial" w:hAnsi="Arial"/>
          <w:color w:val="212529"/>
          <w:sz w:val="22"/>
          <w:szCs w:val="22"/>
        </w:rPr>
        <w:t xml:space="preserve">Detección activa de deriva conceptual: algoritmos ADWIN (ADaptive WINdowing), Page-Hinkley y Kolmogorov-Smirnov monitoran continuamente si D = sup|F₁ - F₂| supera el umbral de significancia estadística, activando reentrenamiento cuando se detecta cambio.</w:t>
      </w:r>
    </w:p>
    <w:p>
      <w:pPr>
        <w:pStyle w:val="ListParagraph"/>
        <w:numPr>
          <w:ilvl w:val="0"/>
          <w:numId w:val="2"/>
        </w:numPr>
        <w:spacing w:before="60" w:after="60" w:line="276" w:lineRule="auto"/>
      </w:pPr>
      <w:r>
        <w:rPr>
          <w:rFonts w:ascii="Arial" w:cs="Arial" w:eastAsia="Arial" w:hAnsi="Arial"/>
          <w:color w:val="212529"/>
          <w:sz w:val="22"/>
          <w:szCs w:val="22"/>
        </w:rPr>
        <w:t xml:space="preserve">Aprendizaje incremental: los modelos de Neuralzoo se actualizan con datos nuevos sin olvidar el conocimiento previo, usando técnicas de aprendizaje continuo (continual learning) como Elastic Weight Consolidation (EWC) y Progressive Neural Networks.</w:t>
      </w:r>
    </w:p>
    <w:p>
      <w:pPr>
        <w:pStyle w:val="ListParagraph"/>
        <w:numPr>
          <w:ilvl w:val="0"/>
          <w:numId w:val="2"/>
        </w:numPr>
        <w:spacing w:before="60" w:after="60" w:line="276" w:lineRule="auto"/>
      </w:pPr>
      <w:r>
        <w:rPr>
          <w:rFonts w:ascii="Arial" w:cs="Arial" w:eastAsia="Arial" w:hAnsi="Arial"/>
          <w:color w:val="212529"/>
          <w:sz w:val="22"/>
          <w:szCs w:val="22"/>
        </w:rPr>
        <w:t xml:space="preserve">Incertidumbre bayesiana: todos los modelos predictivos de ALMA reportan intervalos de confianza, no solo estimaciones puntuales. Esto permite que los agricultores y técnicos evalúen la confiabilidad de cada recomendación antes de actuar.</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3.2 Integración de Datos Multimodales</w:t>
      </w:r>
    </w:p>
    <w:p>
      <w:pPr>
        <w:spacing w:before="100" w:after="80" w:line="276" w:lineRule="auto"/>
        <w:jc w:val="both"/>
      </w:pPr>
      <w:r>
        <w:rPr>
          <w:rFonts w:ascii="Arial" w:cs="Arial" w:eastAsia="Arial" w:hAnsi="Arial"/>
          <w:b w:val="false"/>
          <w:bCs w:val="false"/>
          <w:color w:val="212529"/>
          <w:sz w:val="22"/>
          <w:szCs w:val="22"/>
        </w:rPr>
        <w:t xml:space="preserve">ALMA integra cinco dominios de datos D = {Xs, Xr, Xg, Xc, Xp} que cubren el espectro completo de información relevante para el sistema agrícola. La escala de adquisición —45,000 sensores IoT, cobertura satelital diaria, secuenciación genómica in situ y registros productivos continuos— genera un volumen superior a 1.5 billones de registros anuales que deben ser integrados, limpiados y transformados antes de alimentar los modelos de aprendizaje automático.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700"/>
        <w:gridCol w:w="1100"/>
        <w:gridCol w:w="2400"/>
        <w:gridCol w:w="1560"/>
      </w:tblGrid>
      <w:tr>
        <w:trPr>
          <w:tblHeader/>
        </w:trPr>
        <w:tc>
          <w:tcPr>
            <w:tcW w:type="dxa" w:w="9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Dominio</w:t>
            </w:r>
          </w:p>
        </w:tc>
        <w:tc>
          <w:tcPr>
            <w:tcW w:type="dxa" w:w="7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Símbolo</w:t>
            </w:r>
          </w:p>
        </w:tc>
        <w:tc>
          <w:tcPr>
            <w:tcW w:type="dxa" w:w="17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 de datos</w:t>
            </w:r>
          </w:p>
        </w:tc>
        <w:tc>
          <w:tcPr>
            <w:tcW w:type="dxa" w:w="11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Frecuencia</w:t>
            </w:r>
          </w:p>
        </w:tc>
        <w:tc>
          <w:tcPr>
            <w:tcW w:type="dxa" w:w="24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Variables clave</w:t>
            </w:r>
          </w:p>
        </w:tc>
        <w:tc>
          <w:tcPr>
            <w:tcW w:type="dxa" w:w="15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Volumen anual estimado</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Sensores IoT/WSN</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Xs</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45,000 nodos LoRaWAN (1 por 2 ha)</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Cada 10 min</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Humedad vol. suelo (0-30cm), T° suelo/aire, PAR, conductividad eléctrica, pH, CO₂ suelo</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~2.4 B registros/año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Teledetección</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Xr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Sentinel-2 (10m/px diario) + Drones (2.5cm/px semanal)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Diaria/Semanal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NDVI, NDRE, NDWI, EVI, SAVI, LAI, temperatura superficial, mapas estrés hídrico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 TB imágenes/año</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Genómica MinION</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Xg</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 secuenciadores Oxford Nanopore MinION + lab móvil</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 demanda (&lt;72h)</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SNPs patógenos, microbioma 16S/ITS, genotipado variedades, eDNA suelo</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&gt;15,000 análisis/año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Clima</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Xc</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Estaciones meteorológicas ALMA (320) + IDEAM + ERA5 reanalysis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Horaria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Precipitación, T° max/min/media, velocidad y dirección viento, humedad relativa, ET₀</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 M registros/año</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Producción</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Xp</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ERP SAP B1 + registros UAF/UAI/UAP + trazabilidad blockchain</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Diaria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Rendimiento/ha, costos insumos, calidad aceite (HPLC), trazabilidad lote, precios FOB</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~180k registros/año</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3.3 Ingeniería de Características</w:t>
      </w:r>
    </w:p>
    <w:p>
      <w:pPr>
        <w:spacing w:before="100" w:after="80" w:line="276" w:lineRule="auto"/>
        <w:jc w:val="both"/>
      </w:pPr>
      <w:r>
        <w:rPr>
          <w:rFonts w:ascii="Arial" w:cs="Arial" w:eastAsia="Arial" w:hAnsi="Arial"/>
          <w:b w:val="false"/>
          <w:bCs w:val="false"/>
          <w:color w:val="212529"/>
          <w:sz w:val="22"/>
          <w:szCs w:val="22"/>
        </w:rPr>
        <w:t xml:space="preserve">La transformación Z = φ(X) convierte los flujos de datos crudos en características predictivas de alta calidad. Los problemas fundamentales en esta capa son: ruido instrumental (resuelto con filtros de Kalman adaptativos), datos faltantes en zonas de baja conectividad (resuelto con imputación bayesiana y modelos espaciales kriging), y heterogeneidad de escalas temporales (resuelto con ventanas deslizantes multi-resolución). Se generan cuatro tipos principales de características:</w:t>
      </w:r>
    </w:p>
    <w:p>
      <w:pPr>
        <w:pStyle w:val="Heading3"/>
        <w:spacing w:before="220" w:after="100" w:line="276" w:lineRule="auto"/>
      </w:pPr>
      <w:r>
        <w:rPr>
          <w:rFonts w:ascii="Arial" w:cs="Arial" w:eastAsia="Arial" w:hAnsi="Arial"/>
          <w:b/>
          <w:bCs/>
          <w:color w:val="264653"/>
          <w:sz w:val="25"/>
          <w:szCs w:val="25"/>
        </w:rPr>
        <w:t xml:space="preserve">Características Temporales</w:t>
      </w:r>
    </w:p>
    <w:p>
      <w:pPr>
        <w:spacing w:before="100" w:after="80" w:line="276" w:lineRule="auto"/>
        <w:jc w:val="both"/>
      </w:pPr>
      <w:r>
        <w:rPr>
          <w:rFonts w:ascii="Arial" w:cs="Arial" w:eastAsia="Arial" w:hAnsi="Arial"/>
          <w:b w:val="false"/>
          <w:bCs w:val="false"/>
          <w:color w:val="212529"/>
          <w:sz w:val="22"/>
          <w:szCs w:val="22"/>
        </w:rPr>
        <w:t xml:space="preserve">Zt = f(Xt-n:t): ventanas deslizantes de 7, 14 y 30 días para capturar tendencias, estacionalidad y patrones cíclicos. Se calculan: media móvil exponencial (EMA), desviación estándar rolling, percentiles (10°, 25°, 75°, 90°), tasa de cambio (ROC), y transformadas wavelet para análisis multi-frecuencia de series temporales de sensores WSN.</w:t>
      </w:r>
    </w:p>
    <w:p>
      <w:pPr>
        <w:pStyle w:val="Heading3"/>
        <w:spacing w:before="220" w:after="100" w:line="276" w:lineRule="auto"/>
      </w:pPr>
      <w:r>
        <w:rPr>
          <w:rFonts w:ascii="Arial" w:cs="Arial" w:eastAsia="Arial" w:hAnsi="Arial"/>
          <w:b/>
          <w:bCs/>
          <w:color w:val="264653"/>
          <w:sz w:val="25"/>
          <w:szCs w:val="25"/>
        </w:rPr>
        <w:t xml:space="preserve">Características Físicas — Evapotranspiración Penman-Monteith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E3F2FD" w:val="clear"/>
            <w:tcMar>
              <w:top w:type="dxa" w:w="160"/>
              <w:left w:type="dxa" w:w="240"/>
              <w:bottom w:type="dxa" w:w="160"/>
              <w:right w:type="dxa" w:w="160"/>
            </w:tcMar>
          </w:tcPr>
          <w:p>
            <w:pPr>
              <w:spacing w:before="0" w:after="0" w:line="276" w:lineRule="auto"/>
              <w:jc w:val="both"/>
            </w:pPr>
            <w:r>
              <w:rPr>
                <w:rFonts w:ascii="Arial" w:cs="Arial" w:eastAsia="Arial" w:hAnsi="Arial"/>
                <w:color w:val="0D47A1"/>
                <w:sz w:val="21"/>
                <w:szCs w:val="21"/>
              </w:rPr>
              <w:t xml:space="preserve">ET₀ = [0.408Δ(Rn−G) + γ(900/(T+273))u₂(es−ea)] / [Δ + γ(1+0.34u₂)]
ET₀: Evapotranspiración de referencia (mm/día) — calibrada en tiempo real con datos WSN
Δ: Pendiente de la curva de presión de vapor (kPa/°C) — temperatura WSN estación local
Rn: Radiación neta (MJ/m²/día) — sensores PAR + cobertura nubosa Sentinel-2
u₂: Velocidad del viento a 2m (m/s) — anemómetro estaciones meteorológicas ALMA
es−ea: Déficit de presión de vapor (kPa) — temperatura + humedad relativa WSN
La ET₀ calculada a escala parcela permite recomendaciones de riego al nivel de cada nodo WSN (1 por 2 ha), reemplazando la estimación regional que promedia condiciones muy distintas.</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Características Espectrales</w:t>
      </w:r>
    </w:p>
    <w:p>
      <w:pPr>
        <w:spacing w:before="100" w:after="80" w:line="276" w:lineRule="auto"/>
        <w:jc w:val="both"/>
      </w:pPr>
      <w:r>
        <w:rPr>
          <w:rFonts w:ascii="Arial" w:cs="Arial" w:eastAsia="Arial" w:hAnsi="Arial"/>
          <w:b w:val="false"/>
          <w:bCs w:val="false"/>
          <w:color w:val="212529"/>
          <w:sz w:val="22"/>
          <w:szCs w:val="22"/>
        </w:rPr>
        <w:t xml:space="preserve">Los drones multiespectrales de 5 bandas generan los siguientes índices calculados a 2.5 cm/píxel, integrados automáticamente con el SIG y Neuralzoo tras cada vuelo: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960"/>
      </w:tblGrid>
      <w:tr>
        <w:trPr>
          <w:tblHeader/>
        </w:trPr>
        <w:tc>
          <w:tcPr>
            <w:tcW w:type="dxa" w:w="8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Índice</w:t>
            </w:r>
          </w:p>
        </w:tc>
        <w:tc>
          <w:tcPr>
            <w:tcW w:type="dxa" w:w="22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Fórmula</w:t>
            </w:r>
          </w:p>
        </w:tc>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Interpretación agronómica</w:t>
            </w:r>
          </w:p>
        </w:tc>
        <w:tc>
          <w:tcPr>
            <w:tcW w:type="dxa" w:w="29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Umbral alerta ALMA</w:t>
            </w:r>
          </w:p>
        </w:tc>
      </w:tr>
      <w:tr>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NDVI</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(NIR−RED)/(NIR+RED)</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Vigor vegetativo general, biomasa foliar</w:t>
            </w:r>
          </w:p>
        </w:tc>
        <w:tc>
          <w:tcPr>
            <w:tcW w:type="dxa" w:w="2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0.35 → estrés severo → alerta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(NIR−RedEdge)/(NIR+RedEdge)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Contenido clorofila, estrés nitrógeno temprano</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0.45 → deficiencia N probable</w:t>
            </w:r>
          </w:p>
        </w:tc>
      </w:tr>
      <w:tr>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NDWI</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(NIR−SWIR)/(NIR+SWIR)</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Estrés hídrico, contenido agua foliar</w:t>
            </w:r>
          </w:p>
        </w:tc>
        <w:tc>
          <w:tcPr>
            <w:tcW w:type="dxa" w:w="2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-0.1 → riego urgente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EVI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2.5×(NIR−RED)/(NIR+6×RED−7.5×BLUE+1)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NDVI mejorado, menos saturación en cobertura densa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Tendencia descendente 14d → alerta</w:t>
            </w:r>
          </w:p>
        </w:tc>
      </w:tr>
      <w:tr>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LAI</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Área foliar por unidad área suelo (m²/m²)</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Interceptación luz, productividad potencial</w:t>
            </w:r>
          </w:p>
        </w:tc>
        <w:tc>
          <w:tcPr>
            <w:tcW w:type="dxa" w:w="2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2.5 en época crecimiento → subóptimo</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Características Genómicas</w:t>
      </w:r>
    </w:p>
    <w:p>
      <w:pPr>
        <w:spacing w:before="100" w:after="80" w:line="276" w:lineRule="auto"/>
        <w:jc w:val="both"/>
      </w:pPr>
      <w:r>
        <w:rPr>
          <w:rFonts w:ascii="Arial" w:cs="Arial" w:eastAsia="Arial" w:hAnsi="Arial"/>
          <w:b w:val="false"/>
          <w:bCs w:val="false"/>
          <w:color w:val="212529"/>
          <w:sz w:val="22"/>
          <w:szCs w:val="22"/>
        </w:rPr>
        <w:t xml:space="preserve">El MinION genera dos tipos de características genómicas: (i) vectores de presencia/ausencia de variantes (SNPs) para genotipado varietal y detección de patógenos, y (ii) embeddings genómicos de 128 dimensiones entrenados con word2vec sobre k-mers de 6pb (hexámeros), que capturan similitud funcional entre secuencias sin requerir alineamiento. El modelo de asociación genómica y = Xβ + ε (GWAS) permite identificar marcadores moleculares asociados con resistencia a enfermedades y rendimiento superior en las variedades locales de Cauca, Valle y Eje Cafetero.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3.4 Modelos de Inteligencia Artificial — Plataforma Neuralzoo</w:t>
      </w:r>
    </w:p>
    <w:p>
      <w:pPr>
        <w:spacing w:before="100" w:after="80" w:line="276" w:lineRule="auto"/>
        <w:jc w:val="both"/>
      </w:pPr>
      <w:r>
        <w:rPr>
          <w:rFonts w:ascii="Arial" w:cs="Arial" w:eastAsia="Arial" w:hAnsi="Arial"/>
          <w:b w:val="false"/>
          <w:bCs w:val="false"/>
          <w:color w:val="212529"/>
          <w:sz w:val="22"/>
          <w:szCs w:val="22"/>
        </w:rPr>
        <w:t xml:space="preserve">Neuralzoo es la capa de inteligencia artificial de ALMA, diseñada bajo los principios de Explainable AI (XAI) para garantizar que sus recomendaciones sean comprensibles por agricultores con formación básica. Implementa un ensemble heterogéneo de modelos especializados por dominio:</w:t>
      </w:r>
    </w:p>
    <w:p>
      <w:pPr>
        <w:pStyle w:val="Heading3"/>
        <w:spacing w:before="220" w:after="100" w:line="276" w:lineRule="auto"/>
      </w:pPr>
      <w:r>
        <w:rPr>
          <w:rFonts w:ascii="Arial" w:cs="Arial" w:eastAsia="Arial" w:hAnsi="Arial"/>
          <w:b/>
          <w:bCs/>
          <w:color w:val="264653"/>
          <w:sz w:val="25"/>
          <w:szCs w:val="25"/>
        </w:rPr>
        <w:t xml:space="preserve">3.4.1 Modelos Supervisados</w:t>
      </w:r>
    </w:p>
    <w:p>
      <w:pPr>
        <w:spacing w:before="100" w:after="80" w:line="276" w:lineRule="auto"/>
        <w:jc w:val="both"/>
      </w:pPr>
      <w:r>
        <w:rPr>
          <w:rFonts w:ascii="Arial" w:cs="Arial" w:eastAsia="Arial" w:hAnsi="Arial"/>
          <w:b w:val="false"/>
          <w:bCs w:val="false"/>
          <w:color w:val="212529"/>
          <w:sz w:val="22"/>
          <w:szCs w:val="22"/>
        </w:rPr>
        <w:t xml:space="preserve">Para predicción de rendimiento y clasificación de estados agronómicos, ALMA emplea: Gradient Boosting (XGBoost/LightGBM) como modelo principal por su interpretabilidad mediante SHAP values y su rendimiento en datos tabulares heterogéneos; Redes Neuronales Convolucionales (CNN ResNet-50 fine-tuned) para clasificación de imágenes multiespectrales de drones con precisión superior al 88% en detección de focos de enfermedades; y Bayesian Ridge Regression para estimaciones con cuantificación explícita de incertidumbre.</w:t>
      </w:r>
    </w:p>
    <w:p>
      <w:pPr>
        <w:pStyle w:val="Heading3"/>
        <w:spacing w:before="220" w:after="100" w:line="276" w:lineRule="auto"/>
      </w:pPr>
      <w:r>
        <w:rPr>
          <w:rFonts w:ascii="Arial" w:cs="Arial" w:eastAsia="Arial" w:hAnsi="Arial"/>
          <w:b/>
          <w:bCs/>
          <w:color w:val="264653"/>
          <w:sz w:val="25"/>
          <w:szCs w:val="25"/>
        </w:rPr>
        <w:t xml:space="preserve">3.4.2 Modelos Temporales</w:t>
      </w:r>
    </w:p>
    <w:p>
      <w:pPr>
        <w:spacing w:before="100" w:after="80" w:line="276" w:lineRule="auto"/>
        <w:jc w:val="both"/>
      </w:pPr>
      <w:r>
        <w:rPr>
          <w:rFonts w:ascii="Arial" w:cs="Arial" w:eastAsia="Arial" w:hAnsi="Arial"/>
          <w:b w:val="false"/>
          <w:bCs w:val="false"/>
          <w:color w:val="212529"/>
          <w:sz w:val="22"/>
          <w:szCs w:val="22"/>
        </w:rPr>
        <w:t xml:space="preserve">Las series temporales de los 45,000 sensores WSN se procesan con: LSTM (Long Short-Term Memory) para predicción de demanda de riego a 7 y 14 días, capturando dependencias temporales largas que los modelos estadísticos convencionales pierden; Transformers (modelo tipo TiDE - Time-series Dense Encoder) para predicción de rendimiento a 30-90 días con atención sobre variables climáticas y genómicas; y modelos de espacio de estados (Kalman, SSM) para fusión de datos de múltiples fuentes con tasas de muestreo heterogéneas.</w:t>
      </w:r>
    </w:p>
    <w:p>
      <w:pPr>
        <w:pStyle w:val="Heading3"/>
        <w:spacing w:before="220" w:after="100" w:line="276" w:lineRule="auto"/>
      </w:pPr>
      <w:r>
        <w:rPr>
          <w:rFonts w:ascii="Arial" w:cs="Arial" w:eastAsia="Arial" w:hAnsi="Arial"/>
          <w:b/>
          <w:bCs/>
          <w:color w:val="264653"/>
          <w:sz w:val="25"/>
          <w:szCs w:val="25"/>
        </w:rPr>
        <w:t xml:space="preserve">3.4.3 Aprendizaje por Refuerzo</w:t>
      </w:r>
    </w:p>
    <w:p>
      <w:pPr>
        <w:spacing w:before="100" w:after="80" w:line="276" w:lineRule="auto"/>
        <w:jc w:val="both"/>
      </w:pPr>
      <w:r>
        <w:rPr>
          <w:rFonts w:ascii="Arial" w:cs="Arial" w:eastAsia="Arial" w:hAnsi="Arial"/>
          <w:b w:val="false"/>
          <w:bCs w:val="false"/>
          <w:color w:val="212529"/>
          <w:sz w:val="22"/>
          <w:szCs w:val="22"/>
        </w:rPr>
        <w:t xml:space="preserve">La política de manejo agronómico de largo plazo π(a|s) se aprende mediante Q-learning profundo (DQN) con experiencia de réplica y redes objetivo (target networks). El algoritmo de actualización: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D8F3DC" w:val="clear"/>
            <w:tcMar>
              <w:top w:type="dxa" w:w="160"/>
              <w:left w:type="dxa" w:w="240"/>
              <w:bottom w:type="dxa" w:w="160"/>
              <w:right w:type="dxa" w:w="160"/>
            </w:tcMar>
          </w:tcPr>
          <w:p>
            <w:pPr>
              <w:spacing w:before="0" w:after="0" w:line="276" w:lineRule="auto"/>
              <w:jc w:val="both"/>
            </w:pPr>
            <w:r>
              <w:rPr>
                <w:rFonts w:ascii="Arial" w:cs="Arial" w:eastAsia="Arial" w:hAnsi="Arial"/>
                <w:color w:val="1B4332"/>
                <w:sz w:val="21"/>
                <w:szCs w:val="21"/>
              </w:rPr>
              <w:t xml:space="preserve">Q(s,a) ← Q(s,a) + α[R + γ max_a' Q(s',a') − Q(s,a)]
Espacio de estados s: vector 128-dimensional que combina features WSN + NDVI + genómica + clima
Espacio de acciones a: {riego: volumen×timing, fertilización: NPK×dosis, cosecha: fecha×ruta, biocontroladores: cepa×concentración}
Función de recompensa R: composición ponderada de rendimiento económico (70%), sostenibilidad ambiental (20%) y bienestar familiar UAF (10%)
Factor de descuento γ=0.92: horizonte efectivo ~12 años, apropiado para cultivos perennes
El RL permite que ALMA aprenda estrategias óptimas de largo plazo que los modelos supervisados de corto plazo no pueden capturar: por ejemplo, decidir cuándo sacrificar rendimiento en año seco para preservar la salud del suelo y maximizar el rendimiento en los 3 años siguientes.</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3.5 Aprendizaje Adaptativo y Detección de Deriva</w:t>
      </w:r>
    </w:p>
    <w:p>
      <w:pPr>
        <w:spacing w:before="100" w:after="80" w:line="276" w:lineRule="auto"/>
        <w:jc w:val="both"/>
      </w:pPr>
      <w:r>
        <w:rPr>
          <w:rFonts w:ascii="Arial" w:cs="Arial" w:eastAsia="Arial" w:hAnsi="Arial"/>
          <w:b w:val="false"/>
          <w:bCs w:val="false"/>
          <w:color w:val="212529"/>
          <w:sz w:val="22"/>
          <w:szCs w:val="22"/>
        </w:rPr>
        <w:t xml:space="preserve">El componente de aprendizaje adaptativo es el que diferencia a ALMA de un sistema convencional de monitoreo con sensores. Los modelos no son estáticos —se actualizan continuamente para mantener relevancia bajo condiciones que cambian. La detección de deriva conceptual opera sobre los residuos de predicción de cada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Método de detección</w:t>
            </w:r>
          </w:p>
        </w:tc>
        <w:tc>
          <w:tcPr>
            <w:tcW w:type="dxa" w:w="22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Estadístico monitor</w:t>
            </w:r>
          </w:p>
        </w:tc>
        <w:tc>
          <w:tcPr>
            <w:tcW w:type="dxa" w:w="14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Sensibilidad</w:t>
            </w:r>
          </w:p>
        </w:tc>
        <w:tc>
          <w:tcPr>
            <w:tcW w:type="dxa" w:w="356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Aplicación en ALMA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ADWIN (ADaptive WINdowing)</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Diferencia de medias en dos ventanas adaptativas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Alta (detecta cambios pequeños)</w:t>
            </w:r>
          </w:p>
        </w:tc>
        <w:tc>
          <w:tcPr>
            <w:tcW w:type="dxa" w:w="3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Monitoreo continuo WSN: T° suelo, humedad, conductividad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Page-Hinkley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Suma acumulada de desviaciones sobre umbral λ</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 (cambios medianos)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Predicción rendimiento mensual, eficacia bioinsumos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Kolmogorov-Smirnov</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 = sup|F₁(x) - F₂(x)|</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Baja (cambios grandes)</w:t>
            </w:r>
          </w:p>
        </w:tc>
        <w:tc>
          <w:tcPr>
            <w:tcW w:type="dxa" w:w="3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Cambios de temporada, validación anual modelos NDVI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Maximum Mean Discrepancy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MMD entre distribuciones kernel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Muy alta (espacios alta dim.)</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Comparación embeddings genómicos MinION por temporada</w:t>
            </w:r>
          </w:p>
        </w:tc>
      </w:tr>
    </w:tbl>
    <w:p>
      <w:pPr>
        <w:spacing w:before="100" w:after="80" w:line="276" w:lineRule="auto"/>
        <w:jc w:val="both"/>
      </w:pPr>
      <w:r>
        <w:rPr>
          <w:rFonts w:ascii="Arial" w:cs="Arial" w:eastAsia="Arial" w:hAnsi="Arial"/>
          <w:b w:val="false"/>
          <w:bCs w:val="false"/>
          <w:color w:val="212529"/>
          <w:sz w:val="22"/>
          <w:szCs w:val="22"/>
        </w:rPr>
        <w:t xml:space="preserve">Cuando cualquier método detecta deriva significativa, ALMA activa automáticamente el pipeline de reentrenamiento: descarga datos recientes de la nube, rebalancea el dataset con ponderación temporal (datos recientes con mayor peso), reentrena el modelo afectado con validación cruzada expandida, evalúa el nuevo modelo contra el anterior en conjunto de validación independiente, y despliega el nuevo modelo si supera en ≥2% en la métrica de interés.</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3.6 Integración Genómica: MinION en el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D8F3DC" w:val="clear"/>
            <w:tcMar>
              <w:top w:type="dxa" w:w="160"/>
              <w:left w:type="dxa" w:w="240"/>
              <w:bottom w:type="dxa" w:w="160"/>
              <w:right w:type="dxa" w:w="160"/>
            </w:tcMar>
          </w:tcPr>
          <w:p>
            <w:pPr>
              <w:spacing w:before="0" w:after="0" w:line="276" w:lineRule="auto"/>
              <w:jc w:val="both"/>
            </w:pPr>
            <w:r>
              <w:rPr>
                <w:rFonts w:ascii="Arial" w:cs="Arial" w:eastAsia="Arial" w:hAnsi="Arial"/>
                <w:color w:val="1B4332"/>
                <w:sz w:val="21"/>
                <w:szCs w:val="21"/>
              </w:rPr>
              <w:t xml:space="preserve">La secuenciación nanopórica de tercera generación (Oxford Nanopore MinION) permite obtener, en menos de 72 horas y directamente desde el campo, un perfil genómico completo de microbiomas del suelo, patógenos de plantas o variedades cultivadas. Esta capacidad de diagnóstico molecular en tiempo real transforma radicalmente la forma en que se toman las decisiones agronómicas y sanitarias en los cultivos de 90,000 ha.</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3.6.1 Principio Tecnológico</w:t>
      </w:r>
    </w:p>
    <w:p>
      <w:pPr>
        <w:spacing w:before="100" w:after="80" w:line="276" w:lineRule="auto"/>
        <w:jc w:val="both"/>
      </w:pPr>
      <w:r>
        <w:rPr>
          <w:rFonts w:ascii="Arial" w:cs="Arial" w:eastAsia="Arial" w:hAnsi="Arial"/>
          <w:b w:val="false"/>
          <w:bCs w:val="false"/>
          <w:color w:val="212529"/>
          <w:sz w:val="22"/>
          <w:szCs w:val="22"/>
        </w:rPr>
        <w:t xml:space="preserve">El MinION de Oxford Nanopore Technologies es un dispositivo de secuenciación de ADN y ARN del tamaño de una memoria USB que lee secuencias de ácidos nucleicos en tiempo real mientras la molécula transita a través de proteínas de nanoporos embebidas en una membrana sintética. Cuando un nucleótido transita por el poro, produce una perturbación característica en la corriente iónica que, decodificada por el algoritmo de basecalling (Guppy/Dorado), permite reconstruir la secuencia completa. A diferencia de las tecnologías de segunda generación (Illumina), que requieren laboratorios controlados y 3-7 días, el MinION opera en campo con fuente de 5V USB, produce resultados en 4-72 horas y genera lecturas largas (&gt;10 kb) que resuelven regiones repetitivas inaccesibles para lecturas cortas.</w:t>
      </w:r>
    </w:p>
    <w:p>
      <w:pPr>
        <w:pStyle w:val="Heading3"/>
        <w:spacing w:before="220" w:after="100" w:line="276" w:lineRule="auto"/>
      </w:pPr>
      <w:r>
        <w:rPr>
          <w:rFonts w:ascii="Arial" w:cs="Arial" w:eastAsia="Arial" w:hAnsi="Arial"/>
          <w:b/>
          <w:bCs/>
          <w:color w:val="264653"/>
          <w:sz w:val="25"/>
          <w:szCs w:val="25"/>
        </w:rPr>
        <w:t xml:space="preserve">3.6.2 Pipeline Operativo ALMA-MinION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100"/>
        <w:gridCol w:w="1800"/>
        <w:gridCol w:w="2460"/>
      </w:tblGrid>
      <w:tr>
        <w:trPr>
          <w:tblHeader/>
        </w:trPr>
        <w:tc>
          <w:tcPr>
            <w:tcW w:type="dxa" w:w="9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Paso</w:t>
            </w:r>
          </w:p>
        </w:tc>
        <w:tc>
          <w:tcPr>
            <w:tcW w:type="dxa" w:w="22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Procedimiento</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Tiempo</w:t>
            </w:r>
          </w:p>
        </w:tc>
        <w:tc>
          <w:tcPr>
            <w:tcW w:type="dxa" w:w="18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Herramientas</w:t>
            </w:r>
          </w:p>
        </w:tc>
        <w:tc>
          <w:tcPr>
            <w:tcW w:type="dxa" w:w="24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Validación</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 Muestreo de campo</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Suelo (5 puntos compuestos/ha), hojas con síntomas, raíces. Metadatos GPS integrados.</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 min</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GPS UAF, bolsas estériles, crioviales</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Protocolo INVIMA bioseguridad campo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 Extracción ADN/ARN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Kits Qiagen DNeasy Plant Mini (suelo: PowerSoil). Cuantificación Nanodrop.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45-90 min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Minicentrífuga 12V, NanoDrop Go</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[ADN] ≥ 50 ng/μL, 260/280 ≥ 1.8</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 Preparación librería</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Kit rápido SQK-RBK004 (Rapid Barcoding): ligación adaptadores + barcodes.</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15-20 min</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Termobloque portátil, microtubos</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Verificación en gel agarosa 1%</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 Secuenciación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Carga flowcell R9.4.1 en MinION, inicio protocolo MinKNOW. Mínimo 1-4h para cobertura ≥20×.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1-12 horas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 laptop edge server</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Poros activos &gt;800, Q-score &gt;9</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 Basecalling</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Guppy/Dorado en GPU edge server NVIDIA Jetson (1,000 reads/min acelerado).</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30-90 min</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NVIDIA Jetson AGX Orin, Dorado</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Precisión &gt;99% lecturas 1D con Q&gt;10</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 Análisis taxonómico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Kraken2+Bracken para microbioma, Minimap2 para alineamiento, GATK para variantes.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30-60 min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Kraken2 database k-mer 31bp, GATK4</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Abundancia relativa + CI 95%</w:t>
            </w:r>
          </w:p>
        </w:tc>
      </w:tr>
      <w:tr>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 Integración ALMA</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Resultados → API REST Neuralzoo → SIG → dashboard UAF/UAI → recomendación manejo.</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&lt;15 min post-análisis</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Neuralzoo API, PostGIS, QGIS</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Alerta push &lt;4h desde inicio muestreo</w:t>
            </w:r>
          </w:p>
        </w:tc>
      </w:tr>
    </w:tbl>
    <w:p>
      <w:pPr>
        <w:spacing w:before="40" w:after="80" w:line="276" w:lineRule="auto"/>
        <w:jc w:val="both"/>
      </w:pPr>
      <w:r>
        <w:rPr>
          <w:rFonts w:ascii="Arial" w:cs="Arial" w:eastAsia="Arial" w:hAnsi="Arial"/>
          <w:b w:val="false"/>
          <w:bCs w:val="false"/>
          <w:color w:val="495057"/>
          <w:sz w:val="18"/>
          <w:szCs w:val="18"/>
        </w:rPr>
        <w:t xml:space="preserve">Fuente: Oxford Nanopore Technologies Field Applications Compendium 2024 + protocolos adaptados ALMA.</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3.7 Microbioma del Suelo: S = f(M, N, C, H)</w:t>
      </w:r>
    </w:p>
    <w:p>
      <w:pPr>
        <w:spacing w:before="100" w:after="80" w:line="276" w:lineRule="auto"/>
        <w:jc w:val="both"/>
      </w:pPr>
      <w:r>
        <w:rPr>
          <w:rFonts w:ascii="Arial" w:cs="Arial" w:eastAsia="Arial" w:hAnsi="Arial"/>
          <w:b w:val="false"/>
          <w:bCs w:val="false"/>
          <w:color w:val="212529"/>
          <w:sz w:val="22"/>
          <w:szCs w:val="22"/>
        </w:rPr>
        <w:t xml:space="preserve">El suelo no es un sustrato inerte —es un ecosistema con más de 1 billón de microorganismos por gramo, cuya composición y actividad determinan la fertilidad, la resistencia a enfermedades y el potencial de secuestro de carbono. La función S = f(M, N, C, H) donde S es la salud del suelo, M es el microbioma, N es la disponibilidad de nutrientes, C es el contenido de carbono orgánico y H es la humedad volumétrica, captura las interdependencias no lineales que la agricultura de precisión debe resolver.</w:t>
      </w:r>
    </w:p>
    <w:p>
      <w:pPr>
        <w:spacing w:before="100" w:after="80" w:line="276" w:lineRule="auto"/>
        <w:jc w:val="both"/>
      </w:pPr>
      <w:r>
        <w:rPr>
          <w:rFonts w:ascii="Arial" w:cs="Arial" w:eastAsia="Arial" w:hAnsi="Arial"/>
          <w:b w:val="false"/>
          <w:bCs w:val="false"/>
          <w:color w:val="212529"/>
          <w:sz w:val="22"/>
          <w:szCs w:val="22"/>
        </w:rPr>
        <w:t xml:space="preserve">El análisis metagenómico MinION de microbioma 16S rRNA (bacterias) e ITS (hongos) permite a ALMA: (i) diagnosticar desequilibrios microbianos que predicen problemas fitosanitarios antes de que sean visibles; (ii) diseñar bioinsumos (inoculantes microbianos) adaptados al microbioma nativo de cada zona UAF/UAI, maximizando su eficacia; (iii) monitorear la recuperación de la biodiversidad edáfica como indicador de la efectividad de las prácticas de agricultura regenerativa; y (iv) identificar taxones clave —como fijadores de nitrógeno, solubilizadores de fosfato y hongos micorrízicos— cuya presencia se puede estimular mediante prácticas específicas.</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3.8 Computación en el Borde y Gobernanza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00"/>
        <w:gridCol w:w="1500"/>
        <w:gridCol w:w="2360"/>
      </w:tblGrid>
      <w:tr>
        <w:trPr>
          <w:tblHeader/>
        </w:trPr>
        <w:tc>
          <w:tcPr>
            <w:tcW w:type="dxa" w:w="15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infraestructura</w:t>
            </w:r>
          </w:p>
        </w:tc>
        <w:tc>
          <w:tcPr>
            <w:tcW w:type="dxa" w:w="24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técnica</w:t>
            </w:r>
          </w:p>
        </w:tc>
        <w:tc>
          <w:tcPr>
            <w:tcW w:type="dxa" w:w="16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Ubicación</w:t>
            </w:r>
          </w:p>
        </w:tc>
        <w:tc>
          <w:tcPr>
            <w:tcW w:type="dxa" w:w="15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Capacidad</w:t>
            </w:r>
          </w:p>
        </w:tc>
        <w:tc>
          <w:tcPr>
            <w:tcW w:type="dxa" w:w="236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Protocolo seguridad</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Edge Server UAI</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NVIDIA Jetson AGX Orin (275 TOPS). Inferencia Neuralzoo local. Análisis MinION. Sin internet requerido.</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UAI (50-100ha por nodo)</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4-8 servidores por región</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AES-256, TLS 1.3, auth OTAA</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Gateway LoRaWAN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Concentrador Kerlink iStation (320 unidades). 15km alcance. 500 nodos/gateway.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Distribuido en bloques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 gateway por 280 ha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PKI certificados X.509</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Centro Datos ALMA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HPE ProLiant + NVIDIA DGX A100. Entrenamiento modelos. Almacenamiento genómico. Blockchain.</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Zona Franca Palmira</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128 GPU-cores, 10 PB, 40 Gbps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ISO 27001, GDPR-equivalente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Aprendizaje Federado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Flower FL framework. Entrenamiento sin centralizar datos privados. Privacidad diferencial ε=0.1.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Multi-nodo distribuido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Agregación segura cada 24h</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Privacidad diferencial, MPC</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Blockchain trazabilidad</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Hyperledger Fabric v2.5. Smart contracts lote-a-lote. Registro MinION + WSN + producción.</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 permisionada ALMA</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1,000 TPS, latencia &lt;2s</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Criptografía RSA-2048+ECDSA</w:t>
            </w:r>
          </w:p>
        </w:tc>
      </w:tr>
    </w:tbl>
    <w:p>
      <w:pPr>
        <w:spacing w:before="100" w:after="80" w:line="276" w:lineRule="auto"/>
        <w:jc w:val="both"/>
      </w:pPr>
      <w:r>
        <w:rPr>
          <w:rFonts w:ascii="Arial" w:cs="Arial" w:eastAsia="Arial" w:hAnsi="Arial"/>
          <w:b w:val="false"/>
          <w:bCs w:val="false"/>
          <w:color w:val="212529"/>
          <w:sz w:val="22"/>
          <w:szCs w:val="22"/>
        </w:rPr>
        <w:t xml:space="preserve">La gobernanza de datos de ALMA opera bajo tres principios irrenunciables: soberanía comunitaria (los datos genómicos y productivos pertenecen a las comunidades que los generan), consentimiento informado (ningún dato se comparte sin autorización explícita documentada en los acuerdos ABS del Protocolo de Nagoya), y transparencia algorítmica (todos los modelos de Neuralzoo publican sus SHAP values para que técnicos y agricultores comprendan el racionamiento de cada recomendación).</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4. PORTAFOLIO AGROINDUSTRIAL INTEGRADO</w:t>
      </w:r>
    </w:p>
    <w:p>
      <w:pPr>
        <w:spacing w:before="100" w:after="80" w:line="276" w:lineRule="auto"/>
        <w:jc w:val="both"/>
      </w:pPr>
      <w:r>
        <w:rPr>
          <w:rFonts w:ascii="Arial" w:cs="Arial" w:eastAsia="Arial" w:hAnsi="Arial"/>
          <w:b w:val="false"/>
          <w:bCs w:val="false"/>
          <w:color w:val="212529"/>
          <w:sz w:val="22"/>
          <w:szCs w:val="22"/>
        </w:rPr>
        <w:t xml:space="preserve">La Plataforma ALMA gestiona un portafolio agroindustrial de 90,000 hectáreas estructurado en dos niveles: los tres cultivos oleaginosos estratégicos que constituyen el núcleo industrial del modelo —seleccionados por adaptación edafoclimática comprobada, mercado internacional en expansión, viabilidad financiera modelada y compatibilidad con la agricultura regenerativa que es principio rector— y 63 cultivos complementarios que garantizan la diversificación del riesgo, la seguridad alimentaria de las familias UAF y la generación de ingresos adicionales. La tecnología ALMA amplifica el valor de cada cultivo a través de sus cinco frentes de impacto: mayor rendimiento (+20%), mayor precio FOB (+12%), menores costos (-18% agrícola, -12% industrial), nuevos ingresos (carbono, bioenergía) y menor impuesto (Zona Franca 20% vs. 35%).</w:t>
      </w:r>
    </w:p>
    <w:p>
      <w:pPr>
        <w:pStyle w:val="Heading2"/>
        <w:spacing w:before="280" w:after="140" w:line="276" w:lineRule="auto"/>
      </w:pPr>
      <w:r>
        <w:rPr>
          <w:rFonts w:ascii="Arial" w:cs="Arial" w:eastAsia="Arial" w:hAnsi="Arial"/>
          <w:b/>
          <w:bCs/>
          <w:color w:val="2D6A4F"/>
          <w:sz w:val="29"/>
          <w:szCs w:val="29"/>
        </w:rPr>
        <w:t xml:space="preserve">4.1 Higuerilla (Ricinus communis): El Motor Industrial a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HIGUERILLA — 40,000 ha  ·  VPN BASE: COP 128,081 MM  ·  VPN ALMA: ~COP 590,000 MM  ·  TIR ALMA: 30.5%  ·  Payback: 2031</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4.1.1 Caracterización Agronómica y Científica</w:t>
      </w:r>
    </w:p>
    <w:p>
      <w:pPr>
        <w:spacing w:before="100" w:after="80" w:line="276" w:lineRule="auto"/>
        <w:jc w:val="both"/>
      </w:pPr>
      <w:r>
        <w:rPr>
          <w:rFonts w:ascii="Arial" w:cs="Arial" w:eastAsia="Arial" w:hAnsi="Arial"/>
          <w:b w:val="false"/>
          <w:bCs w:val="false"/>
          <w:color w:val="212529"/>
          <w:sz w:val="22"/>
          <w:szCs w:val="22"/>
        </w:rPr>
        <w:t xml:space="preserve">La higuerilla (Ricinus communis L.) es una euforbiácea tropical de ciclo semiperenne (vida útil 15-20 años con renovación por corte) que produce semillas con contenido de aceite de hasta el 50% en peso seco. El aceite de ricino contiene &gt;85% de ácido ricinoleico (ácido 12-hidroxi-9-cis- octadecenoico), un hidroxiácido graso único que le confiere propiedades fisicoquímicas sin equivalente natural: viscosidad estable entre -40°C y +200°C, resistencia a la hidrólisis y oxidación, y capacidad de polimerización para formación de nylon biodegradable (Rilsan® Arkema). No existe ningún aceite mineral o vegetal que pueda sustituirlo completamente en las aplicaciones de alta ingeniería aeroespacial, farmacéutica y en bioplásticos.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160"/>
      </w:tblGrid>
      <w:tr>
        <w:trPr>
          <w:tblHeader/>
        </w:trPr>
        <w:tc>
          <w:tcPr>
            <w:tcW w:type="dxa" w:w="28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 Técnico</w:t>
            </w:r>
          </w:p>
        </w:tc>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 BASE</w:t>
            </w:r>
          </w:p>
        </w:tc>
        <w:tc>
          <w:tcPr>
            <w:tcW w:type="dxa" w:w="24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 ALMA</w:t>
            </w:r>
          </w:p>
        </w:tc>
        <w:tc>
          <w:tcPr>
            <w:tcW w:type="dxa" w:w="21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 semilla (plena producción)</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ton/ha/año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 ton/ha/año (+20%)</w:t>
            </w:r>
          </w:p>
        </w:tc>
        <w:tc>
          <w:tcPr>
            <w:tcW w:type="dxa" w:w="2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CORPOICA ICA-3 var. seleccionada + MinION genotipado ALMA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Extracción aceite de semilla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 (igual proceso)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ASTM D1548 — Estándar industrial prensado frío</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 aceite realizado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1.470 ton/ha/año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1.764 ton/ha/año</w:t>
            </w:r>
          </w:p>
        </w:tc>
        <w:tc>
          <w:tcPr>
            <w:tcW w:type="dxa" w:w="2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Calculado: rendimiento × tasa extracción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Subproducto torta higuerilla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del fruto — fertilizante orgánico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del fruto (mayor calidad)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Norma INVIMA + análisis bioquímico MinION</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aceite FOB base 2026</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1,800/ton</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2,016/ton (+12% blockchain pharma)</w:t>
            </w:r>
          </w:p>
        </w:tc>
        <w:tc>
          <w:tcPr>
            <w:tcW w:type="dxa" w:w="2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Bloomberg Commodities Mar. 2026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torta higuerilla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380/ton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399/ton (+5%)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Mercado fertilizantes + certificación origen ALMA</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Años hasta producción plena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 años (50% año 2, 100% año 3+)</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Mismo — MinION acelera selección semilla</w:t>
            </w:r>
          </w:p>
        </w:tc>
        <w:tc>
          <w:tcPr>
            <w:tcW w:type="dxa" w:w="2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CENIPALMA + datos ALMA piloto 2025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Volumen aceite plena operación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58,800 ton/año (BASE)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70,560 ton/año (ALMA)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Calculado: 40,000 ha × rend. aceite</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Costo opex agrícola/ha/año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3.80 MM/ha (con arriendo)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3.10 MM/ha (-18% precisión ALMA)</w:t>
            </w:r>
          </w:p>
        </w:tc>
        <w:tc>
          <w:tcPr>
            <w:tcW w:type="dxa" w:w="2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Modelo financiero ALMA v6 — 22 ítems costeo</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4.1.2 Estructura de Costos Unitarios por Hectárea — Detalle ALMA</w:t>
      </w:r>
    </w:p>
    <w:p>
      <w:pPr>
        <w:spacing w:before="100" w:after="80" w:line="276" w:lineRule="auto"/>
        <w:jc w:val="both"/>
      </w:pPr>
      <w:r>
        <w:rPr>
          <w:rFonts w:ascii="Arial" w:cs="Arial" w:eastAsia="Arial" w:hAnsi="Arial"/>
          <w:b w:val="false"/>
          <w:bCs w:val="false"/>
          <w:color w:val="212529"/>
          <w:sz w:val="22"/>
          <w:szCs w:val="22"/>
        </w:rPr>
        <w:t xml:space="preserve">El análisis de costos unitarios por hectárea es la piedra angular del modelo financiero. ALMA separa costos de establecimiento (CAPEX, año de siembra) de costos operativos (OPEX, anuales durante vida productiva). La tecnología reduce sistemáticamente los costos variables: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200"/>
        <w:gridCol w:w="700"/>
        <w:gridCol w:w="3360"/>
      </w:tblGrid>
      <w:tr>
        <w:trPr>
          <w:tblHeader/>
        </w:trPr>
        <w:tc>
          <w:tcPr>
            <w:tcW w:type="dxa" w:w="15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 de Costo</w:t>
            </w:r>
          </w:p>
        </w:tc>
        <w:tc>
          <w:tcPr>
            <w:tcW w:type="dxa" w:w="18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Ítem Específico</w:t>
            </w:r>
          </w:p>
        </w:tc>
        <w:tc>
          <w:tcPr>
            <w:tcW w:type="dxa" w:w="12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COP mm/ha</w:t>
            </w:r>
          </w:p>
        </w:tc>
        <w:tc>
          <w:tcPr>
            <w:tcW w:type="dxa" w:w="12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ALMA COP mm/ha</w:t>
            </w:r>
          </w:p>
        </w:tc>
        <w:tc>
          <w:tcPr>
            <w:tcW w:type="dxa" w:w="7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Δ%</w:t>
            </w:r>
          </w:p>
        </w:tc>
        <w:tc>
          <w:tcPr>
            <w:tcW w:type="dxa" w:w="33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 ALMA que genera el ahorro</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CAPEX Establecimiento</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Preparación suelos + rastrillado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0.28</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0.28</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Sin cambio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Semilla certificada R. communis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mejora selección sin costo adicional</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Encalamiento + fertilización base</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0.15</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0.12</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análisis pH exacto → menos enmienda</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Siembra + resiembra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GPS drones trazado + mejor selección semilla</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TOTAL CAPEX/ha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Capitalizado — no recurrente</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1.105</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0.974</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Ahorro: COP 5,240 MM en 40,000 ha</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OPEX Anual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Fertilización edáfica + foliar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0.75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0.56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WSN conductividad + Neuralzoo dosis exacta</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Fitosanitarios (MIP integrado)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0.40</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0.26</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diagnóstico + biocontroladores UAP</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Riego operativo época seca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WSN balance hídrico Penman-Monteith</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Cosecha + embalaje selectivo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0.55</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0.52</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Rutas óptimas Neuralzoo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Transporte campo-planta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0.40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0.38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SIG rutas logísticas optimizadas</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Mano de obra directa campo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0.95</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0.86</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Planificación labores Neuralzoo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Supervisión + cert. + seguros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0.30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Sin cambio (obligatorio)</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Administración campo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0.20</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0.19</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Gestión digital Neuralzoo</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OPEX tecnología ALMA (adicional)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0.066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Nuevo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2,650 MM/año ÷ 40,000 ha</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TOTAL OPEX/ha/año</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Excluyendo arriendo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3.80</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3.10</w:t>
            </w:r>
          </w:p>
        </w:tc>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Ahorro neto: COP 28,000 MM/año en plena op.</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4.1.3 Mercado Internacional y Aplicaciones del Aceite de Ricino</w:t>
      </w:r>
    </w:p>
    <w:p>
      <w:pPr>
        <w:spacing w:before="100" w:after="80" w:line="276" w:lineRule="auto"/>
        <w:jc w:val="both"/>
      </w:pPr>
      <w:r>
        <w:rPr>
          <w:rFonts w:ascii="Arial" w:cs="Arial" w:eastAsia="Arial" w:hAnsi="Arial"/>
          <w:b w:val="false"/>
          <w:bCs w:val="false"/>
          <w:color w:val="212529"/>
          <w:sz w:val="22"/>
          <w:szCs w:val="22"/>
        </w:rPr>
        <w:t xml:space="preserve">El aceite de ricino es un insumo industrial estratégico sin sustituto perfecto en aplicaciones críticas. El mercado global superó los USD 1,500 millones en 2025 con CAGR del 5.2% (Grand View Research, 2025). La certificación blockchain que habilita ALMA abre específicamente el segmento pharma-grade, que paga USD 2,016-2,500/ton vs. USD 1,800 del mercado spot:</w:t>
      </w:r>
    </w:p>
    <w:p>
      <w:pPr>
        <w:pStyle w:val="ListParagraph"/>
        <w:numPr>
          <w:ilvl w:val="0"/>
          <w:numId w:val="2"/>
        </w:numPr>
        <w:spacing w:before="60" w:after="60" w:line="276" w:lineRule="auto"/>
      </w:pPr>
      <w:r>
        <w:rPr>
          <w:rFonts w:ascii="Arial" w:cs="Arial" w:eastAsia="Arial" w:hAnsi="Arial"/>
          <w:color w:val="212529"/>
          <w:sz w:val="22"/>
          <w:szCs w:val="22"/>
        </w:rPr>
        <w:t xml:space="preserve">Aeroespacial y automotriz premium: Boeing, Airbus, Ferrari y McLaren especifican aceite de ricino en sus lubricantes de alta temperatura (−40°C a +200°C), donde no hay sustituto técnico disponible. Mercado USD 380 MM/año, precio USD 2,200-2,500/ton.</w:t>
      </w:r>
    </w:p>
    <w:p>
      <w:pPr>
        <w:pStyle w:val="ListParagraph"/>
        <w:numPr>
          <w:ilvl w:val="0"/>
          <w:numId w:val="2"/>
        </w:numPr>
        <w:spacing w:before="60" w:after="60" w:line="276" w:lineRule="auto"/>
      </w:pPr>
      <w:r>
        <w:rPr>
          <w:rFonts w:ascii="Arial" w:cs="Arial" w:eastAsia="Arial" w:hAnsi="Arial"/>
          <w:color w:val="212529"/>
          <w:sz w:val="22"/>
          <w:szCs w:val="22"/>
        </w:rPr>
        <w:t xml:space="preserve">Farmacéutica: excipiente Cremophor EL (castor oil PEG 35) para medicamentos inyectables (Taxol, ciclosporina), laxante regulado FDA, materia prima Ricinoleato de Zinc (antibiótico tópico). Requiere farmacopea USP/BP — certificación que habilita blockchain ALMA.</w:t>
      </w:r>
    </w:p>
    <w:p>
      <w:pPr>
        <w:pStyle w:val="ListParagraph"/>
        <w:numPr>
          <w:ilvl w:val="0"/>
          <w:numId w:val="2"/>
        </w:numPr>
        <w:spacing w:before="60" w:after="60" w:line="276" w:lineRule="auto"/>
      </w:pPr>
      <w:r>
        <w:rPr>
          <w:rFonts w:ascii="Arial" w:cs="Arial" w:eastAsia="Arial" w:hAnsi="Arial"/>
          <w:color w:val="212529"/>
          <w:sz w:val="22"/>
          <w:szCs w:val="22"/>
        </w:rPr>
        <w:t xml:space="preserve">Cosmética premium: L'Oréal, Neutrogena, The Ordinary, Charlotte Tilbury especifican aceite de ricino orgánico certificado en labiales, acondicionadores y sueros capilares. Precio premium USD 2,200-2,800/ton para producto orgánico con trazabilidad.</w:t>
      </w:r>
    </w:p>
    <w:p>
      <w:pPr>
        <w:pStyle w:val="ListParagraph"/>
        <w:numPr>
          <w:ilvl w:val="0"/>
          <w:numId w:val="2"/>
        </w:numPr>
        <w:spacing w:before="60" w:after="60" w:line="276" w:lineRule="auto"/>
      </w:pPr>
      <w:r>
        <w:rPr>
          <w:rFonts w:ascii="Arial" w:cs="Arial" w:eastAsia="Arial" w:hAnsi="Arial"/>
          <w:color w:val="212529"/>
          <w:sz w:val="22"/>
          <w:szCs w:val="22"/>
        </w:rPr>
        <w:t xml:space="preserve">Plásticos biodegradables: Nylon 11 (Rilsan® Arkema) y poliamidas para textiles, calzado e impresión 3D sostenible se producen exclusivamente del ácido undecanoico derivado del aceite de ricino. Mercado en expansión por sustitución de petroquímicos.</w:t>
      </w:r>
    </w:p>
    <w:p>
      <w:pPr>
        <w:pStyle w:val="ListParagraph"/>
        <w:numPr>
          <w:ilvl w:val="0"/>
          <w:numId w:val="2"/>
        </w:numPr>
        <w:spacing w:before="60" w:after="60" w:line="276" w:lineRule="auto"/>
      </w:pPr>
      <w:r>
        <w:rPr>
          <w:rFonts w:ascii="Arial" w:cs="Arial" w:eastAsia="Arial" w:hAnsi="Arial"/>
          <w:color w:val="212529"/>
          <w:sz w:val="22"/>
          <w:szCs w:val="22"/>
        </w:rPr>
        <w:t xml:space="preserve">Biocombustibles SAF: proceso HEFA (Hydrotreated Esters and Fatty Acids) convierte el aceite en combustible de aviación ASTM D7566. Avianca y LATAM ya negocian contratos de suministro de largo plazo para cumplir mandato IATA 10% SAF en 2030.</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4.2 Sacha Inchi (Plukenetia volubilis): El Oro Verde Amazónico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SACHA INCHI — 20,000 ha  ·  VPN BASE: COP 417,715 MM  ·  VPN ALMA: ~COP 520,000 MM  ·  TIR: 42%+  ·  Payback: 2030</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4.2.1 Fundamento Científico y Valor Nutricional</w:t>
      </w:r>
    </w:p>
    <w:p>
      <w:pPr>
        <w:spacing w:before="100" w:after="80" w:line="276" w:lineRule="auto"/>
        <w:jc w:val="both"/>
      </w:pPr>
      <w:r>
        <w:rPr>
          <w:rFonts w:ascii="Arial" w:cs="Arial" w:eastAsia="Arial" w:hAnsi="Arial"/>
          <w:b w:val="false"/>
          <w:bCs w:val="false"/>
          <w:color w:val="212529"/>
          <w:sz w:val="22"/>
          <w:szCs w:val="22"/>
        </w:rPr>
        <w:t xml:space="preserve">El Sacha Inchi (Plukenetia volubilis L.) es el cultivo de mayor rentabilidad del portafolio ALMA gracias a un perfil fitoquímico sin parangón en el reino vegetal: 48% ALA (Omega-3), 36% LA (Omega-6), 8% oleico (Omega-9), &gt;60% proteína en torta y 52 mg/100g tocoferoles (Vitamina E). Supera al aceite de linaza en estabilidad oxidativa y biodisponibilidad, posicionándose como el Omega-3 vegetal premium: sin olor a pescado, sin contaminantes marinos, apto para veganos y certificable orgánico.</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9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w:t>
            </w:r>
          </w:p>
        </w:tc>
        <w:tc>
          <w:tcPr>
            <w:tcW w:type="dxa" w:w="17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Sacha Inchi</w:t>
            </w:r>
          </w:p>
        </w:tc>
        <w:tc>
          <w:tcPr>
            <w:tcW w:type="dxa" w:w="17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Aceite de Linaza</w:t>
            </w:r>
          </w:p>
        </w:tc>
        <w:tc>
          <w:tcPr>
            <w:tcW w:type="dxa" w:w="170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Aceite de Palma</w:t>
            </w:r>
          </w:p>
        </w:tc>
        <w:tc>
          <w:tcPr>
            <w:tcW w:type="dxa" w:w="1960"/>
            <w:tcBorders>
              <w:top w:val="single" w:color="1565C0" w:sz="4"/>
              <w:left w:val="single" w:color="1565C0" w:sz="4"/>
              <w:bottom w:val="single" w:color="1565C0" w:sz="4"/>
              <w:right w:val="single" w:color="1565C0" w:sz="4"/>
            </w:tcBorders>
            <w:shd w:fill="1565C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Aceite de Oliva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Omega-3 (ALA)</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48%</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53%</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0.5%</w:t>
            </w:r>
          </w:p>
        </w:tc>
        <w:tc>
          <w:tcPr>
            <w:tcW w:type="dxa" w:w="1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Omega-6 (LA)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Omega-9</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37%</w:t>
            </w:r>
          </w:p>
        </w:tc>
        <w:tc>
          <w:tcPr>
            <w:tcW w:type="dxa" w:w="1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Vitamina E (mg/100g)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Índice estabilidad oxidativa</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 — ALMA mejora proceso</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Muy bajo</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Muy alto</w:t>
            </w:r>
          </w:p>
        </w:tc>
        <w:tc>
          <w:tcPr>
            <w:tcW w:type="dxa" w:w="1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Proteína en torta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60% — fuente proteica premium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18%</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USD/ton (2026)</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USD 3,200 (base) → USD 3,680 ALMA</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2,200</w:t>
            </w:r>
          </w:p>
        </w:tc>
        <w:tc>
          <w:tcPr>
            <w:tcW w:type="dxa" w:w="1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500</w:t>
            </w:r>
          </w:p>
        </w:tc>
        <w:tc>
          <w:tcPr>
            <w:tcW w:type="dxa" w:w="1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3,000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 aceite/ha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1,316 kg/ha BASE → 1,579 kg/ha ALMA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1,050 kg/ha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3,600 kg/ha*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400 kg/ha</w:t>
            </w:r>
          </w:p>
        </w:tc>
      </w:tr>
    </w:tbl>
    <w:p>
      <w:pPr>
        <w:spacing w:before="40" w:after="60" w:line="276" w:lineRule="auto"/>
        <w:jc w:val="both"/>
      </w:pPr>
      <w:r>
        <w:rPr>
          <w:rFonts w:ascii="Arial" w:cs="Arial" w:eastAsia="Arial" w:hAnsi="Arial"/>
          <w:b w:val="false"/>
          <w:bCs w:val="false"/>
          <w:color w:val="495057"/>
          <w:sz w:val="18"/>
          <w:szCs w:val="18"/>
        </w:rPr>
        <w:t xml:space="preserve">* El rendimiento de palma incluye eficiencia industrial en refinación de alta escala.</w:t>
      </w:r>
    </w:p>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4.2.2 Análisis de Mercado y Posicionamiento</w:t>
      </w:r>
    </w:p>
    <w:p>
      <w:pPr>
        <w:spacing w:before="100" w:after="80" w:line="276" w:lineRule="auto"/>
        <w:jc w:val="both"/>
      </w:pPr>
      <w:r>
        <w:rPr>
          <w:rFonts w:ascii="Arial" w:cs="Arial" w:eastAsia="Arial" w:hAnsi="Arial"/>
          <w:b w:val="false"/>
          <w:bCs w:val="false"/>
          <w:color w:val="212529"/>
          <w:sz w:val="22"/>
          <w:szCs w:val="22"/>
        </w:rPr>
        <w:t xml:space="preserve">El mercado global de suplementos de Omega-3 superó los USD 4,200 millones en 2025 y crece al 8.2% anual. El Sacha Inchi captura el segmento más dinámico: Whole Foods Market, Sprouts, Amazon Fresh, Vitacost y las principales marcas de nutrición deportiva europea pagan hasta USD 3,680/ton (precio ALMA con certificación USDA Organic + blockchain trazabilidad) vs. USD 3,200 del mercado convencional. La certificación genómica MinION del contenido ALA por lote, registrada en blockchain, es el diferenciador técnico que justifica el sobreprecio.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4.3 Jatrofa (Jatropha curcas): Bioenergía, Química Verde y Carbono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JATROFA — 20,000 ha  ·  VPN BASE: COP 20,794 MM  ·  VPN ALMA: ~COP 45,000 MM  ·  TIR ALMA: 19.5%  ·  Payback: 2032</w:t>
            </w:r>
          </w:p>
        </w:tc>
      </w:tr>
    </w:tbl>
    <w:p>
      <w:r>
        <w:rPr>
          <w:sz w:val="20"/>
          <w:szCs w:val="20"/>
        </w:rPr>
        <w:t xml:space="preserve"/>
      </w:r>
    </w:p>
    <w:p>
      <w:pPr>
        <w:spacing w:before="100" w:after="80" w:line="276" w:lineRule="auto"/>
        <w:jc w:val="both"/>
      </w:pPr>
      <w:r>
        <w:rPr>
          <w:rFonts w:ascii="Arial" w:cs="Arial" w:eastAsia="Arial" w:hAnsi="Arial"/>
          <w:b w:val="false"/>
          <w:bCs w:val="false"/>
          <w:color w:val="212529"/>
          <w:sz w:val="22"/>
          <w:szCs w:val="22"/>
        </w:rPr>
        <w:t xml:space="preserve">La Jatrofa es el cultivo de menor riesgo del portafolio por tres razones estructurales que ninguna otra variable puede eliminar: mercado cautivo legal (Ley 939 de 2004 que obliga mezcla B10), demanda garantizada SAF aviación (IATA CORSIA para vuelos EU desde 2030), y las características agronómicas más resilientes del portafolio —tolerancia excepcional a sequía, crecimiento en suelos marginales, vida productiva 25-30 años, mínimos requerimientos de fertilización. La tecnología ALMA multiplica sus flujos de ingresos añadiendo el crédito carbono ISCC PLUS (2.8 tCO₂e evitadas/ton biodiesel) y el precio premium SAF.</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4.4 Portafolio Complementario: 63 Cultivos para 10,000 Hectáreas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900"/>
        <w:gridCol w:w="1800"/>
        <w:gridCol w:w="1800"/>
        <w:gridCol w:w="2760"/>
      </w:tblGrid>
      <w:tr>
        <w:trPr>
          <w:tblHeader/>
        </w:trPr>
        <w:tc>
          <w:tcPr>
            <w:tcW w:type="dxa" w:w="13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8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 Cultivos</w:t>
            </w:r>
          </w:p>
        </w:tc>
        <w:tc>
          <w:tcPr>
            <w:tcW w:type="dxa" w:w="9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Área</w:t>
            </w:r>
          </w:p>
        </w:tc>
        <w:tc>
          <w:tcPr>
            <w:tcW w:type="dxa" w:w="18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Función Principal</w:t>
            </w:r>
          </w:p>
        </w:tc>
        <w:tc>
          <w:tcPr>
            <w:tcW w:type="dxa" w:w="18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Ejemplos Destacados</w:t>
            </w:r>
          </w:p>
        </w:tc>
        <w:tc>
          <w:tcPr>
            <w:tcW w:type="dxa" w:w="27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 ALMA agregado</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Permanentes</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4,000 ha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Exportación premium, agroindustria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Aguacate Hass, Cacao, Café especial, Palma</w:t>
            </w:r>
          </w:p>
        </w:tc>
        <w:tc>
          <w:tcPr>
            <w:tcW w:type="dxa" w:w="2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Trazabilidad blockchain, certificación EU Organic MinION</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Frutales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2,000 ha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Mercados premium, pulpas y procesados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Granadilla, Gulupa, Maracuyá, Asaí amazónico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NDVI madurez drones → cosecha óptima, -15% pérdidas postcosecha</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Granos y Cereales</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 ha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Seguridad alimentaria, rotación cultivos</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Quinua, Frijol arbustivo, Arroz, Soya</w:t>
            </w:r>
          </w:p>
        </w:tc>
        <w:tc>
          <w:tcPr>
            <w:tcW w:type="dxa" w:w="2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Rotaciones optimizadas por Neuralzoo → recuperación suelo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Hortalizas y Verduras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 ha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Mercado local, autoconsumo UAF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Tomate, Pimiento, Brócoli, Lechuga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Riego de precisión WSN → -40% agua, calidad premium</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Aromáticas y Medicinales</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w:t>
            </w:r>
          </w:p>
        </w:tc>
        <w:tc>
          <w:tcPr>
            <w:tcW w:type="dxa" w:w="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1,000 ha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Aceites esenciales, nutracéuticos</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Romero, Orégano, Sábila, Melisa</w:t>
            </w:r>
          </w:p>
        </w:tc>
        <w:tc>
          <w:tcPr>
            <w:tcW w:type="dxa" w:w="2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análisis metabolitos activos → precio premium EU</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5. ANÁLISIS FINANCIERO CONSOLIDADO</w:t>
      </w:r>
    </w:p>
    <w:p>
      <w:pPr>
        <w:spacing w:before="100" w:after="80" w:line="276" w:lineRule="auto"/>
        <w:jc w:val="both"/>
      </w:pPr>
      <w:r>
        <w:rPr>
          <w:rFonts w:ascii="Arial" w:cs="Arial" w:eastAsia="Arial" w:hAnsi="Arial"/>
          <w:b w:val="false"/>
          <w:bCs w:val="false"/>
          <w:color w:val="212529"/>
          <w:sz w:val="22"/>
          <w:szCs w:val="22"/>
        </w:rPr>
        <w:t xml:space="preserve">El análisis financiero de la Plataforma ALMA se estructura en tres niveles: el análisis individual de cada cultivo oleaginoso estratégico en escenario BASE y ALMA, la consolidación del portafolio de los tres cultivos principales, y la proyección del sistema integrado incluyendo la Zona Franca Biotecnológica. Todos los modelos se construyeron con los siguientes supuestos macroeconómicos validados al Banco de la República de Colombia (Marzo 2026):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960"/>
      </w:tblGrid>
      <w:tr>
        <w:trPr>
          <w:tblHeader/>
        </w:trPr>
        <w:tc>
          <w:tcPr>
            <w:tcW w:type="dxa" w:w="28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Parámetro Macroeconómico</w:t>
            </w:r>
          </w:p>
        </w:tc>
        <w:tc>
          <w:tcPr>
            <w:tcW w:type="dxa" w:w="18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w:t>
            </w:r>
          </w:p>
        </w:tc>
        <w:tc>
          <w:tcPr>
            <w:tcW w:type="dxa" w:w="496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TRM USD/COP</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$3,674 COP/USD</w:t>
            </w:r>
          </w:p>
        </w:tc>
        <w:tc>
          <w:tcPr>
            <w:tcW w:type="dxa" w:w="4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Banco de la República — TRM Marzo 2026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WACC (Costo Ponderado de Capital)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12.5%</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equity (hurdle 18%) + 65% deuda FINAGRO (11.5% EA × (1-35%)) = 12.45%</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Tasa de impuesto sobre la renta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ordinario / 20% ZF</w:t>
            </w:r>
          </w:p>
        </w:tc>
        <w:tc>
          <w:tcPr>
            <w:tcW w:type="dxa" w:w="4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Colombia — Ley 2277 de 2022 + Decreto-Ley 2147/2016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IPC Colombia proyectado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6.5% anual</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Banco de la República — Proyección Q1 2026</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Devaluación COP/año</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anual</w:t>
            </w:r>
          </w:p>
        </w:tc>
        <w:tc>
          <w:tcPr>
            <w:tcW w:type="dxa" w:w="4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BanRep — Media histórica 2018-2025 ajustada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Crecimiento precios commodities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 anual</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Bloomberg Commodities Index — Media 2020-2025</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Tasa interés deuda FINAGRO (ICR)</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11.5% EA</w:t>
            </w:r>
          </w:p>
        </w:tc>
        <w:tc>
          <w:tcPr>
            <w:tcW w:type="dxa" w:w="4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DTF + Spread — Resolución 2 de 2026 JD Finagro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Período de gracia deuda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 años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Estándar FINAGRO para cultivos tardío rendimiento</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Horizonte de proyección</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 años (2026-2035)</w:t>
            </w:r>
          </w:p>
        </w:tc>
        <w:tc>
          <w:tcPr>
            <w:tcW w:type="dxa" w:w="49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Estándar proyectos agroindustriales gran escala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carbono base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22/tCO₂e, crece 2%/año</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Verra Registry Gold Standard Q1 2026 + BloombergNEF Carbon Outlook</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5.1 Estructura de Inversión (CAPEX) por Módulo</w:t>
      </w:r>
    </w:p>
    <w:p>
      <w:pPr>
        <w:spacing w:before="100" w:after="80" w:line="276" w:lineRule="auto"/>
        <w:jc w:val="both"/>
      </w:pPr>
      <w:r>
        <w:rPr>
          <w:rFonts w:ascii="Arial" w:cs="Arial" w:eastAsia="Arial" w:hAnsi="Arial"/>
          <w:b w:val="false"/>
          <w:bCs w:val="false"/>
          <w:color w:val="212529"/>
          <w:sz w:val="22"/>
          <w:szCs w:val="22"/>
        </w:rPr>
        <w:t xml:space="preserve">La inversión total del portafolio asciende a COP 981,600 millones (incluyendo COP 45,200 MM de tecnología ALMA incremental), distribuidos en tres módulos claramente separados para facilitar la estructuración financiera diferenciada: el módulo agrícola califica para líneas ICR de FINAGRO, el módulo industrial puede acceder a líneas Bancoldex y financiamiento internacional de impacto, y el módulo tecnológico ALMA combina capital privado de innovación con cooperación internacional (GIZ, BID Lab, BioCarbon Fund).</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400"/>
        <w:gridCol w:w="600"/>
        <w:gridCol w:w="1400"/>
        <w:gridCol w:w="1400"/>
        <w:gridCol w:w="1400"/>
        <w:gridCol w:w="1360"/>
      </w:tblGrid>
      <w:tr>
        <w:trPr>
          <w:tblHeader/>
        </w:trPr>
        <w:tc>
          <w:tcPr>
            <w:tcW w:type="dxa" w:w="12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Proyecto</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Agrícola</w:t>
            </w:r>
          </w:p>
        </w:tc>
        <w:tc>
          <w:tcPr>
            <w:tcW w:type="dxa" w:w="6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Total</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Industrial</w:t>
            </w:r>
          </w:p>
        </w:tc>
        <w:tc>
          <w:tcPr>
            <w:tcW w:type="dxa" w:w="6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Total</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Total BASE</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CAPEX Tech ALMA</w:t>
            </w:r>
          </w:p>
        </w:tc>
        <w:tc>
          <w:tcPr>
            <w:tcW w:type="dxa" w:w="1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Equity (35%)</w:t>
            </w:r>
          </w:p>
        </w:tc>
        <w:tc>
          <w:tcPr>
            <w:tcW w:type="dxa" w:w="13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Deuda FINAGRO (65%)</w:t>
            </w:r>
          </w:p>
        </w:tc>
      </w:tr>
      <w:tr>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Higuerilla (40K ha)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378,200 MM</w:t>
            </w:r>
          </w:p>
        </w:tc>
        <w:tc>
          <w:tcPr>
            <w:tcW w:type="dxa" w:w="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77%</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111,000 MM</w:t>
            </w:r>
          </w:p>
        </w:tc>
        <w:tc>
          <w:tcPr>
            <w:tcW w:type="dxa" w:w="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23%</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489,200 MM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15,733 MM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176,984 MM</w:t>
            </w:r>
          </w:p>
        </w:tc>
        <w:tc>
          <w:tcPr>
            <w:tcW w:type="dxa" w:w="1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327,949 MM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Sacha Inchi (20K ha)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200,000 MM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64,500 MM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264,500 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16,467 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98,392 MM</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182,729 MM</w:t>
            </w:r>
          </w:p>
        </w:tc>
      </w:tr>
      <w:tr>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Jatrofa (20K ha)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102,000 MM</w:t>
            </w:r>
          </w:p>
        </w:tc>
        <w:tc>
          <w:tcPr>
            <w:tcW w:type="dxa" w:w="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56%</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80,700 MM</w:t>
            </w:r>
          </w:p>
        </w:tc>
        <w:tc>
          <w:tcPr>
            <w:tcW w:type="dxa" w:w="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44%</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182,700 MM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13,000 MM</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68,845 MM</w:t>
            </w:r>
          </w:p>
        </w:tc>
        <w:tc>
          <w:tcPr>
            <w:tcW w:type="dxa" w:w="1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127,855 MM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TOTAL PORTAFOLIO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COP 680,200 MM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73%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COP 256,200 MM</w:t>
            </w:r>
          </w:p>
        </w:tc>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COP 936,400 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COP 45,200 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COP 344,221 MM</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COP 638,533 MM</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5.2 Proyecciones de Ingresos del Portafolio Consolidado — BASE vs ALMA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100"/>
        <w:gridCol w:w="1100"/>
        <w:gridCol w:w="1100"/>
        <w:gridCol w:w="1100"/>
        <w:gridCol w:w="1100"/>
        <w:gridCol w:w="1100"/>
        <w:gridCol w:w="1100"/>
        <w:gridCol w:w="860"/>
      </w:tblGrid>
      <w:tr>
        <w:trPr>
          <w:tblHeader/>
        </w:trPr>
        <w:tc>
          <w:tcPr>
            <w:tcW w:type="dxa" w:w="7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Año</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Higuerilla BASE</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Higuerilla ALMA</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Sacha Inchi BASE</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Sacha Inchi ALMA</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Jatrofa BASE</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Jatrofa ALMA</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BASE</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ALMA</w:t>
            </w:r>
          </w:p>
        </w:tc>
        <w:tc>
          <w:tcPr>
            <w:tcW w:type="dxa" w:w="8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Δ ALMA−BASE</w:t>
            </w:r>
          </w:p>
        </w:tc>
      </w:tr>
      <w:tr>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2026</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12,500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12,500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14,200</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+1,700</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2027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48,510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68,900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35,200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51,100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38,400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49,800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122,110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169,800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+47,690</w:t>
            </w:r>
          </w:p>
        </w:tc>
      </w:tr>
      <w:tr>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2028</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180,121</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256,000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112,600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163,400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98,200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127,300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390,921</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546,700</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+155,779</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2029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327,577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465,000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228,400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331,400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178,600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231,600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734,577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1,028,000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+293,423</w:t>
            </w:r>
          </w:p>
        </w:tc>
      </w:tr>
      <w:tr>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492,317</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699,100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351,200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509,500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234,800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304,400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1,078,317</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1,513,000</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+434,683</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614,455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872,300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445,600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646,800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285,300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369,900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1,345,355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1,889,000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+543,645</w:t>
            </w:r>
          </w:p>
        </w:tc>
      </w:tr>
      <w:tr>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2032</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651,860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925,400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498,200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722,700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312,100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404,700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1,462,160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2,052,800</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+590,640</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691,542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981,300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553,800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803,600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325,600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422,300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1,570,942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2,207,200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+636,258</w:t>
            </w:r>
          </w:p>
        </w:tc>
      </w:tr>
      <w:tr>
        <w:tc>
          <w:tcPr>
            <w:tcW w:type="dxa" w:w="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2034</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733,639</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1,041,500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614,200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891,200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338,500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438,900</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1,686,339</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2,371,600</w:t>
            </w:r>
          </w:p>
        </w:tc>
        <w:tc>
          <w:tcPr>
            <w:tcW w:type="dxa" w:w="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+685,261</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2035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778,300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1,104,800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687,467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997,400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349,706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453,400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1,815,473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2,555,600</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1565C0"/>
                <w:sz w:val="20"/>
                <w:szCs w:val="20"/>
              </w:rPr>
              <w:t xml:space="preserve">+740,127</w:t>
            </w:r>
          </w:p>
        </w:tc>
      </w:tr>
    </w:tbl>
    <w:p>
      <w:pPr>
        <w:spacing w:before="40" w:after="80" w:line="276" w:lineRule="auto"/>
        <w:jc w:val="both"/>
      </w:pPr>
      <w:r>
        <w:rPr>
          <w:rFonts w:ascii="Arial" w:cs="Arial" w:eastAsia="Arial" w:hAnsi="Arial"/>
          <w:b w:val="false"/>
          <w:bCs w:val="false"/>
          <w:color w:val="495057"/>
          <w:sz w:val="18"/>
          <w:szCs w:val="18"/>
        </w:rPr>
        <w:t xml:space="preserve">Valores en COP MM. Ingresos ALMA incluyen: precio premium +12%, mayor volumen +20%, créditos carbono y bioenergía.</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5.3 Análisis de Sensibilidad</w:t>
      </w:r>
    </w:p>
    <w:p>
      <w:pPr>
        <w:spacing w:before="100" w:after="80" w:line="276" w:lineRule="auto"/>
        <w:jc w:val="both"/>
      </w:pPr>
      <w:r>
        <w:rPr>
          <w:rFonts w:ascii="Arial" w:cs="Arial" w:eastAsia="Arial" w:hAnsi="Arial"/>
          <w:b w:val="false"/>
          <w:bCs w:val="false"/>
          <w:color w:val="212529"/>
          <w:sz w:val="22"/>
          <w:szCs w:val="22"/>
        </w:rPr>
        <w:t xml:space="preserve">El análisis de sensibilidad evalúa el impacto sobre el VPN consolidado del portafolio ALMA ante variaciones en las tres variables más críticas. Los resultados confirman la robustez estructural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Escenario Pesimista (-20%)</w:t>
            </w:r>
          </w:p>
        </w:tc>
        <w:tc>
          <w:tcPr>
            <w:tcW w:type="dxa" w:w="20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Escenario Base</w:t>
            </w:r>
          </w:p>
        </w:tc>
        <w:tc>
          <w:tcPr>
            <w:tcW w:type="dxa" w:w="20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Escenario Optimista (+20%)</w:t>
            </w:r>
          </w:p>
        </w:tc>
        <w:tc>
          <w:tcPr>
            <w:tcW w:type="dxa" w:w="11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Sensibilidad VPN ALMA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aceite Higuerilla</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1,440/ton</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1,800×1.12 = USD 2,016/ton</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2,160×1.12 = USD 2,419/ton</w:t>
            </w:r>
          </w:p>
        </w:tc>
        <w:tc>
          <w:tcPr>
            <w:tcW w:type="dxa" w:w="1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±120,000 MM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aceite Sacha Inchi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2,560/ton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3,200×1.15 = USD 3,680/ton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3,840×1.15 = USD 4,416/ton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±280,000 MM</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 general</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BASE −20% (igual que sin ALMA)</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ALMA +20% sobre BASE</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ALMA +40% sobre BASE</w:t>
            </w:r>
          </w:p>
        </w:tc>
        <w:tc>
          <w:tcPr>
            <w:tcW w:type="dxa" w:w="1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±210,000 MM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TRM COP/USD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$3,000 (apreciación)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$3,674 (base)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$4,200 (devaluación)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±110,000 MM</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Tasa de descuento</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 WACC</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12.5% WACC</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WACC</w:t>
            </w:r>
          </w:p>
        </w:tc>
        <w:tc>
          <w:tcPr>
            <w:tcW w:type="dxa" w:w="11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±260,000 MM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Precio carbono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15/tCO₂e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22/tCO₂e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35/tCO₂e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varía COP ±85,000 MM</w:t>
            </w:r>
          </w:p>
        </w:tc>
      </w:tr>
    </w:tbl>
    <w:p>
      <w:pPr>
        <w:spacing w:before="100" w:after="80" w:line="276" w:lineRule="auto"/>
        <w:jc w:val="both"/>
      </w:pPr>
      <w:r>
        <w:rPr>
          <w:rFonts w:ascii="Arial" w:cs="Arial" w:eastAsia="Arial" w:hAnsi="Arial"/>
          <w:b w:val="false"/>
          <w:bCs w:val="false"/>
          <w:color w:val="212529"/>
          <w:sz w:val="22"/>
          <w:szCs w:val="22"/>
        </w:rPr>
        <w:t xml:space="preserve">El análisis demuestra que incluso en el escenario donde todas las variables se deterioran simultáneamente (precio -20%, rendimiento sin mejora ALMA, WACC 15%, TRM apreciación), el VPN del portafolio consolidado ALMA sigue siendo positivo y superior al escenario BASE gracias a que los flujos de carbono, bioenergía y ahorro fiscal de Zona Franca son independientes del precio del aceite. La diversificación de tres cultivos, mercados y fuentes de ingreso hace al portafolio estructuralmente resiliente.</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6. ORGANIZACIÓN TERRITORIAL: UAF, UAI Y UAP</w:t>
      </w:r>
    </w:p>
    <w:p>
      <w:pPr>
        <w:spacing w:before="100" w:after="80" w:line="276" w:lineRule="auto"/>
        <w:jc w:val="both"/>
      </w:pPr>
      <w:r>
        <w:rPr>
          <w:rFonts w:ascii="Arial" w:cs="Arial" w:eastAsia="Arial" w:hAnsi="Arial"/>
          <w:b w:val="false"/>
          <w:bCs w:val="false"/>
          <w:color w:val="212529"/>
          <w:sz w:val="22"/>
          <w:szCs w:val="22"/>
        </w:rPr>
        <w:t xml:space="preserve">La arquitectura territorial de la Plataforma ALMA no es un accesorio organizativo sino el núcleo de su propuesta de transformación social. El modelo de Unidades Agrícolas diferenciadas por función, escala y gobernanza resuelve una de las tensiones más difíciles del desarrollo rural: cómo articular la eficiencia industrial que requiere la agroindustria de exportación con la escala humana que exige la justicia territorial. La solución de ALMA es una organización fractal donde las familias en las UAF se conectan funcionalmente con los centros de investigación (UAI) —nodos de la plataforma tecnológica— y los hubs industriales (UAP), sin perder su autonomía productiva y su gobernanza comunitaria.</w:t>
      </w:r>
    </w:p>
    <w:p>
      <w:pPr>
        <w:pStyle w:val="Heading2"/>
        <w:spacing w:before="280" w:after="140" w:line="276" w:lineRule="auto"/>
      </w:pPr>
      <w:r>
        <w:rPr>
          <w:rFonts w:ascii="Arial" w:cs="Arial" w:eastAsia="Arial" w:hAnsi="Arial"/>
          <w:b/>
          <w:bCs/>
          <w:color w:val="2D6A4F"/>
          <w:sz w:val="29"/>
          <w:szCs w:val="29"/>
        </w:rPr>
        <w:t xml:space="preserve">6.1 Unidades Agrícolas Familiares (UAF)</w:t>
      </w:r>
    </w:p>
    <w:p>
      <w:pPr>
        <w:pStyle w:val="Heading3"/>
        <w:spacing w:before="220" w:after="100" w:line="276" w:lineRule="auto"/>
      </w:pPr>
      <w:r>
        <w:rPr>
          <w:rFonts w:ascii="Arial" w:cs="Arial" w:eastAsia="Arial" w:hAnsi="Arial"/>
          <w:b/>
          <w:bCs/>
          <w:color w:val="264653"/>
          <w:sz w:val="25"/>
          <w:szCs w:val="25"/>
        </w:rPr>
        <w:t xml:space="preserve">6.1.1 Diseño y Asignación</w:t>
      </w:r>
    </w:p>
    <w:p>
      <w:pPr>
        <w:spacing w:before="100" w:after="80" w:line="276" w:lineRule="auto"/>
        <w:jc w:val="both"/>
      </w:pPr>
      <w:r>
        <w:rPr>
          <w:rFonts w:ascii="Arial" w:cs="Arial" w:eastAsia="Arial" w:hAnsi="Arial"/>
          <w:b w:val="false"/>
          <w:bCs w:val="false"/>
          <w:color w:val="212529"/>
          <w:sz w:val="22"/>
          <w:szCs w:val="22"/>
        </w:rPr>
        <w:t xml:space="preserve">Cada UAF consiste en una parcela de 3 hectáreas asignada a una familia rural bajo un modelo de comodato con opción de compra a 10 años, con pleno acompañamiento legal para la formalización de la tenencia. El diseño de las 3 hectáreas responde a un análisis de la capacidad productiva mínima para generar ingresos superiores a 2 salarios mínimos mensuales en plena producción, cumpliendo con el umbral de ingreso digno FAO para la agricultura familiar. La composición típica incluye tecnología ALMA integrada desde el primer día:</w:t>
      </w:r>
    </w:p>
    <w:p>
      <w:pPr>
        <w:pStyle w:val="ListParagraph"/>
        <w:numPr>
          <w:ilvl w:val="0"/>
          <w:numId w:val="2"/>
        </w:numPr>
        <w:spacing w:before="60" w:after="60" w:line="276" w:lineRule="auto"/>
      </w:pPr>
      <w:r>
        <w:rPr>
          <w:rFonts w:ascii="Arial" w:cs="Arial" w:eastAsia="Arial" w:hAnsi="Arial"/>
          <w:color w:val="212529"/>
          <w:sz w:val="22"/>
          <w:szCs w:val="22"/>
        </w:rPr>
        <w:t xml:space="preserve">1.5 ha en cultivo oleaginoso principal (Higuerilla, Sacha Inchi o Jatrofa según zonificación SIG) con acceso a datos Neuralzoo mobile y alertas WSN de su parcela.</w:t>
      </w:r>
    </w:p>
    <w:p>
      <w:pPr>
        <w:pStyle w:val="ListParagraph"/>
        <w:numPr>
          <w:ilvl w:val="0"/>
          <w:numId w:val="2"/>
        </w:numPr>
        <w:spacing w:before="60" w:after="60" w:line="276" w:lineRule="auto"/>
      </w:pPr>
      <w:r>
        <w:rPr>
          <w:rFonts w:ascii="Arial" w:cs="Arial" w:eastAsia="Arial" w:hAnsi="Arial"/>
          <w:color w:val="212529"/>
          <w:sz w:val="22"/>
          <w:szCs w:val="22"/>
        </w:rPr>
        <w:t xml:space="preserve">0.7 ha en cultivos complementarios de mercado local (frutales, hortalizas o aromáticas) con riego de precisión controlado por el balance hídrico WSN local.</w:t>
      </w:r>
    </w:p>
    <w:p>
      <w:pPr>
        <w:pStyle w:val="ListParagraph"/>
        <w:numPr>
          <w:ilvl w:val="0"/>
          <w:numId w:val="2"/>
        </w:numPr>
        <w:spacing w:before="60" w:after="60" w:line="276" w:lineRule="auto"/>
      </w:pPr>
      <w:r>
        <w:rPr>
          <w:rFonts w:ascii="Arial" w:cs="Arial" w:eastAsia="Arial" w:hAnsi="Arial"/>
          <w:color w:val="212529"/>
          <w:sz w:val="22"/>
          <w:szCs w:val="22"/>
        </w:rPr>
        <w:t xml:space="preserve">0.5 ha de seguridad alimentaria (huerta mixta, gallinas, peces en sistema acuapónico) diseñada con apoyo del SIG para aprovechar el microclima de la parcela.</w:t>
      </w:r>
    </w:p>
    <w:p>
      <w:pPr>
        <w:pStyle w:val="ListParagraph"/>
        <w:numPr>
          <w:ilvl w:val="0"/>
          <w:numId w:val="2"/>
        </w:numPr>
        <w:spacing w:before="60" w:after="60" w:line="276" w:lineRule="auto"/>
      </w:pPr>
      <w:r>
        <w:rPr>
          <w:rFonts w:ascii="Arial" w:cs="Arial" w:eastAsia="Arial" w:hAnsi="Arial"/>
          <w:color w:val="212529"/>
          <w:sz w:val="22"/>
          <w:szCs w:val="22"/>
        </w:rPr>
        <w:t xml:space="preserve">0.3 ha de áreas de conservación y compostaje (corredor ecológico, vermicompostaje, plantas de bioinsumos producidos en la UAP) monitoreadas con MinION periódicamente.</w:t>
      </w:r>
    </w:p>
    <w:p>
      <w:pPr>
        <w:pStyle w:val="Heading3"/>
        <w:spacing w:before="220" w:after="100" w:line="276" w:lineRule="auto"/>
      </w:pPr>
      <w:r>
        <w:rPr>
          <w:rFonts w:ascii="Arial" w:cs="Arial" w:eastAsia="Arial" w:hAnsi="Arial"/>
          <w:b/>
          <w:bCs/>
          <w:color w:val="264653"/>
          <w:sz w:val="25"/>
          <w:szCs w:val="25"/>
        </w:rPr>
        <w:t xml:space="preserve">6.1.2 Priorización de Beneficiarios</w:t>
      </w:r>
    </w:p>
    <w:p>
      <w:pPr>
        <w:spacing w:before="100" w:after="80" w:line="276" w:lineRule="auto"/>
        <w:jc w:val="both"/>
      </w:pPr>
      <w:r>
        <w:rPr>
          <w:rFonts w:ascii="Arial" w:cs="Arial" w:eastAsia="Arial" w:hAnsi="Arial"/>
          <w:b w:val="false"/>
          <w:bCs w:val="false"/>
          <w:color w:val="212529"/>
          <w:sz w:val="22"/>
          <w:szCs w:val="22"/>
        </w:rPr>
        <w:t xml:space="preserve">La asignación de las 30,000 UAF sigue un sistema de puntuación que garantiza la materialización del principio de justicia territorial. La tecnología ALMA amplifica el impacto de esta priorización: al reducir el riesgo productivo y la curva de aprendizaje, permite que las familias más vulnerables tengan mayor probabilidad de éxito en sus UAF: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000"/>
        <w:gridCol w:w="3560"/>
      </w:tblGrid>
      <w:tr>
        <w:trPr>
          <w:tblHeader/>
        </w:trPr>
        <w:tc>
          <w:tcPr>
            <w:tcW w:type="dxa" w:w="28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 de Priorización</w:t>
            </w:r>
          </w:p>
        </w:tc>
        <w:tc>
          <w:tcPr>
            <w:tcW w:type="dxa" w:w="10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Ponderación</w:t>
            </w:r>
          </w:p>
        </w:tc>
        <w:tc>
          <w:tcPr>
            <w:tcW w:type="dxa" w:w="20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 de Verificación</w:t>
            </w:r>
          </w:p>
        </w:tc>
        <w:tc>
          <w:tcPr>
            <w:tcW w:type="dxa" w:w="356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Impacto ALMA</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Víctimas del conflicto armado (RUV)</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Registro Único de Víctimas — UARIV</w:t>
            </w:r>
          </w:p>
        </w:tc>
        <w:tc>
          <w:tcPr>
            <w:tcW w:type="dxa" w:w="3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Alertas Neuralzoo reduce curva aprendizaje → mayor probabilidad éxito primer año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Comunidades indígenas y afrocolombianas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Resoluciones territorialidad — ANT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Acuerdos ABS garantizan soberanía datos genómicos de sus territorios</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Mujeres cabeza de hogar rural</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Certificación Secretarías de Agricultura</w:t>
            </w:r>
          </w:p>
        </w:tc>
        <w:tc>
          <w:tcPr>
            <w:tcW w:type="dxa" w:w="3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 roles técnicos ALMA reservados para mujeres (MinION, WSN, Neuralzoo)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Personas en proceso de reintegración (ARN)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Certificación Agencia Reintegración Nacional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Mentoría entre pares + capacitación técnica ALMA abre nuevas oportunidades laborales</w:t>
            </w:r>
          </w:p>
        </w:tc>
      </w:tr>
      <w:tr>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Jóvenes rurales (18-35 años) sin tierra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Documento identidad + residencia rural</w:t>
            </w:r>
          </w:p>
        </w:tc>
        <w:tc>
          <w:tcPr>
            <w:tcW w:type="dxa" w:w="3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Perfil ideal para técnicos ALMA: nativos digitales con formación SENA acelerada</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6.2 Unidades Agrícolas Investigativas (UAI)</w:t>
      </w:r>
    </w:p>
    <w:p>
      <w:pPr>
        <w:spacing w:before="100" w:after="80" w:line="276" w:lineRule="auto"/>
        <w:jc w:val="both"/>
      </w:pPr>
      <w:r>
        <w:rPr>
          <w:rFonts w:ascii="Arial" w:cs="Arial" w:eastAsia="Arial" w:hAnsi="Arial"/>
          <w:b w:val="false"/>
          <w:bCs w:val="false"/>
          <w:color w:val="212529"/>
          <w:sz w:val="22"/>
          <w:szCs w:val="22"/>
        </w:rPr>
        <w:t xml:space="preserve">Las UAI son los cerebros tecnológicos del sistema ALMA y los nodos principales de la Plataforma. Con extensión de 50 a 100 hectáreas por nodo, concentran el equipamiento científico de mayor complejidad: secuenciadores MinION, laboratorios de biología molecular, estaciones WSN de alta densidad (1 sensor por 0.5 ha), servidores edge Neuralzoo, estaciones meteorológicas de referencia y laboratorios de bioinsumos. Cada UAI funciona como hub de la plataforma para su zona de influencia (radio 15-25 km) y articula la investigación científica con las universidades regionales aliadas (Unicauca, Univalle, UNAL Palmira, Universidad de Caldas, UTP).</w:t>
      </w:r>
    </w:p>
    <w:p>
      <w:pPr>
        <w:spacing w:before="100" w:after="80" w:line="276" w:lineRule="auto"/>
        <w:jc w:val="both"/>
      </w:pPr>
      <w:r>
        <w:rPr>
          <w:rFonts w:ascii="Arial" w:cs="Arial" w:eastAsia="Arial" w:hAnsi="Arial"/>
          <w:b w:val="false"/>
          <w:bCs w:val="false"/>
          <w:color w:val="212529"/>
          <w:sz w:val="22"/>
          <w:szCs w:val="22"/>
        </w:rPr>
        <w:t xml:space="preserve">La agenda de investigación de las UAI abarca tres líneas: (i) biotecnología vegetal aplicada —mejoramiento participativo con MinION, genotipado de variedades locales, desarrollo de bioinsumos de cuarta generación adaptados al microbioma nativo—; (ii) agroinformática y datos —calibración modelos Neuralzoo con datos locales, validación índices espectrales regionales, análisis microbiomas edáficos UAI vs. UAF—; y (iii) gasotransmisores y fisiología vegetal —ensayos controlados NO, H₂S, CO en condiciones de campo tropical bajo protocolo ético estricto—.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6.3 Unidades Agrícolas Productivas (UAP)</w:t>
      </w:r>
    </w:p>
    <w:p>
      <w:pPr>
        <w:spacing w:before="100" w:after="80" w:line="276" w:lineRule="auto"/>
        <w:jc w:val="both"/>
      </w:pPr>
      <w:r>
        <w:rPr>
          <w:rFonts w:ascii="Arial" w:cs="Arial" w:eastAsia="Arial" w:hAnsi="Arial"/>
          <w:b w:val="false"/>
          <w:bCs w:val="false"/>
          <w:color w:val="212529"/>
          <w:sz w:val="22"/>
          <w:szCs w:val="22"/>
        </w:rPr>
        <w:t xml:space="preserve">Las UAP son las unidades de transformación industrial, servicios comunes y economía circular del sistema ALMA. Con extensiones de 500 a 2,000 hectáreas por nodo, incluyen las plantas de extracción de aceites (P1, P2, P3 del portafolio Higuerilla), instalaciones de producción de bioinsumos a escala comercial, centros de acopio y clasificación, biodigestores modulares, microrredes solares fotovoltaicas y centros de formación técnica. Las UAP son operadas por asociaciones de productores, cooperativas o empresas de economía solidaria, garantizando que el valor agregado industrial se distribuya entre los productores primarios.</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6.4 Gobernanza Participativa y Consejos Territoriales</w:t>
      </w:r>
    </w:p>
    <w:p>
      <w:pPr>
        <w:spacing w:before="100" w:after="80" w:line="276" w:lineRule="auto"/>
        <w:jc w:val="both"/>
      </w:pPr>
      <w:r>
        <w:rPr>
          <w:rFonts w:ascii="Arial" w:cs="Arial" w:eastAsia="Arial" w:hAnsi="Arial"/>
          <w:b w:val="false"/>
          <w:bCs w:val="false"/>
          <w:color w:val="212529"/>
          <w:sz w:val="22"/>
          <w:szCs w:val="22"/>
        </w:rPr>
        <w:t xml:space="preserve">Cada subregión (Cauca, Valle del Cauca y Eje Cafetero) cuenta con un Consejo Territorial ALMA, integrado paritariamente por representantes de las UAF (elegidos en asambleas comunitarias), delegados de autoridades étnicas (cabildos indígenas y consejos comunitarios afrocolombianos), representantes de mujeres y jóvenes, técnicos del proyecto y un delegado de la Zona Franca. Estos consejos tienen facultades vinculantes sobre cuatro dominios: aprobación de planes operativos anuales, supervisión del uso de recursos, resolución de conflictos territoriales y revisión de la distribución de beneficios. Esta estructura incorpora la Consulta Previa Libre e Informada (CPLI) según el Convenio 169 de la OIT, ratificado por Colombia mediante la Ley 21 de 1991.</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7. ZONA FRANCA BIOTECNOLÓGICA ALMA</w:t>
      </w:r>
    </w:p>
    <w:p>
      <w:pPr>
        <w:spacing w:before="100" w:after="80" w:line="276" w:lineRule="auto"/>
        <w:jc w:val="both"/>
      </w:pPr>
      <w:r>
        <w:rPr>
          <w:rFonts w:ascii="Arial" w:cs="Arial" w:eastAsia="Arial" w:hAnsi="Arial"/>
          <w:b w:val="false"/>
          <w:bCs w:val="false"/>
          <w:color w:val="212529"/>
          <w:sz w:val="22"/>
          <w:szCs w:val="22"/>
        </w:rPr>
        <w:t xml:space="preserve">La Zona Franca Biotecnológica ALMA es el componente más innovador del proyecto en términos de arquitectura institucional y política económica. Combina los beneficios de los regímenes especiales de zonas francas con una misión explícita de justicia territorial y desarrollo comunitario que la diferencia radicalmente de las zonas francas industriales convencionales.</w:t>
      </w:r>
    </w:p>
    <w:p>
      <w:pPr>
        <w:pStyle w:val="Heading2"/>
        <w:spacing w:before="280" w:after="140" w:line="276" w:lineRule="auto"/>
      </w:pPr>
      <w:r>
        <w:rPr>
          <w:rFonts w:ascii="Arial" w:cs="Arial" w:eastAsia="Arial" w:hAnsi="Arial"/>
          <w:b/>
          <w:bCs/>
          <w:color w:val="2D6A4F"/>
          <w:sz w:val="29"/>
          <w:szCs w:val="29"/>
        </w:rPr>
        <w:t xml:space="preserve">7.1 Marco Legal e Incentivos Fiscales</w:t>
      </w:r>
    </w:p>
    <w:p>
      <w:pPr>
        <w:spacing w:before="100" w:after="80" w:line="276" w:lineRule="auto"/>
        <w:jc w:val="both"/>
      </w:pPr>
      <w:r>
        <w:rPr>
          <w:rFonts w:ascii="Arial" w:cs="Arial" w:eastAsia="Arial" w:hAnsi="Arial"/>
          <w:b w:val="false"/>
          <w:bCs w:val="false"/>
          <w:color w:val="212529"/>
          <w:sz w:val="22"/>
          <w:szCs w:val="22"/>
        </w:rPr>
        <w:t xml:space="preserve">La Zona Franca Biotecnológica ALMA se acoge al régimen establecido por el Decreto-Ley 2147 de 2016 y sus normas complementarias. El nodo principal se localiza en Palmira (Valle del Cauca) por su conectividad con el Puerto de Buenaventura (2.5h) y el Aeropuerto Internacional Alfonso Bonilla Aragón (45 min), con nodos satélite en Popayán (Cauca) y Manizales (Caldas). Los incentivos fiscales aplicables incluyen: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 Zona Franca</w:t>
            </w:r>
          </w:p>
        </w:tc>
        <w:tc>
          <w:tcPr>
            <w:tcW w:type="dxa" w:w="340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 técnico-legal</w:t>
            </w:r>
          </w:p>
        </w:tc>
        <w:tc>
          <w:tcPr>
            <w:tcW w:type="dxa" w:w="3760"/>
            <w:tcBorders>
              <w:top w:val="single" w:color="0D47A1" w:sz="4"/>
              <w:left w:val="single" w:color="0D47A1" w:sz="4"/>
              <w:bottom w:val="single" w:color="0D47A1" w:sz="4"/>
              <w:right w:val="single" w:color="0D47A1" w:sz="4"/>
            </w:tcBorders>
            <w:shd w:fill="0D47A1"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Impacto financiero cuantificado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Tasa impuesto renta industrial</w:t>
            </w:r>
          </w:p>
        </w:tc>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 vs 35% régimen ordinario — diferencial 15 pp</w:t>
            </w:r>
          </w:p>
        </w:tc>
        <w:tc>
          <w:tcPr>
            <w:tcW w:type="dxa" w:w="3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210,000+ MM ahorro 10 años portafolio (40% EBIT industrial a tasa 20%)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Exención IVA equipos científicos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Importación libre IVA: MinION, HPLC-MS, prensas, centrifugadoras GMP</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Ahorro ~COP 28,000 MM en CAPEX equipo biotecnológico y procesamiento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Exención aranceles materias primas</w:t>
            </w:r>
          </w:p>
        </w:tc>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Insumos importados para transformación con destino exportación</w:t>
            </w:r>
          </w:p>
        </w:tc>
        <w:tc>
          <w:tcPr>
            <w:tcW w:type="dxa" w:w="3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Ahorro ~COP 8,000 MM/año en solventes, reactivos, empaques especializados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Procedimientos aduaneros simplificados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Bodegas aduaneras internas + OEA (Operador Económico Autorizado)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Reducción 40% tiempo tramitación + reducción costos logísticos exportación FOB</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Acceso capital ESG internacional</w:t>
            </w:r>
          </w:p>
        </w:tc>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Modelo bioeconomía ZF con justicia social — elegible fondos ESG institucionales</w:t>
            </w:r>
          </w:p>
        </w:tc>
        <w:tc>
          <w:tcPr>
            <w:tcW w:type="dxa" w:w="3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Acceso USD 1,500+ MM fondos ESG globales con mandato específico bioeconomía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Atracción empresas ancla I+D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Régimen especial atrae farmacéutico, nutracéutico, agrobiotecnológico</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Pipeline 5-8 empresas ancla → 800+ empleos adicionales ZF no contabilizados</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7.2 Diseño Físico y Servicios Integrados</w:t>
      </w:r>
    </w:p>
    <w:p>
      <w:pPr>
        <w:spacing w:before="100" w:after="80" w:line="276" w:lineRule="auto"/>
        <w:jc w:val="both"/>
      </w:pPr>
      <w:r>
        <w:rPr>
          <w:rFonts w:ascii="Arial" w:cs="Arial" w:eastAsia="Arial" w:hAnsi="Arial"/>
          <w:b w:val="false"/>
          <w:bCs w:val="false"/>
          <w:color w:val="212529"/>
          <w:sz w:val="22"/>
          <w:szCs w:val="22"/>
        </w:rPr>
        <w:t xml:space="preserve">La Zona Franca ALMA integra seis zonas funcionales diseñadas para maximizar las sinergias entre la investigación científica, la transformación industrial y la exportación: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2460"/>
      </w:tblGrid>
      <w:tr>
        <w:trPr>
          <w:tblHeader/>
        </w:trPr>
        <w:tc>
          <w:tcPr>
            <w:tcW w:type="dxa" w:w="15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Zona Funcional</w:t>
            </w:r>
          </w:p>
        </w:tc>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Infraestructura</w:t>
            </w:r>
          </w:p>
        </w:tc>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Capacidad operativa</w:t>
            </w:r>
          </w:p>
        </w:tc>
        <w:tc>
          <w:tcPr>
            <w:tcW w:type="dxa" w:w="24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Certificaciones</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I+D y Biotecnología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Laboratorio biología molecular MinION, salas limpias ISO 14644-1 Clase 100, banco germoplasma criogénico −196°C</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15,000 análisis MinION/año + 5,000 accesiones genéticas</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ISO 17025, GLP OCDE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Producción y Transformación P3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Planta refinación + neutralización + blanqueo + desodorización + formulación pharma GMP 120 ton aceite/día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Aceite pharma-grade USP/BP + Ricinoleato Zinc + Cremophor EL</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FDA Drug Master File + EU GMP</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Logística y Exportación</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Almacenes en frío −18°C a +4°C, plataforma paletización, centro trazabilidad blockchain</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Exportación certificada EU, EE.UU., Japón</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ISO 9001 + FSSC + GlobalGAP</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Formación y Demostración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Aulas biotecnología, campos demostrativos 20 ha, alojamiento 200 pasantes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1,000 técnicos/año capacitados MinION, WSN, Neuralzoo</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SENA + universidades aliadas</w:t>
            </w:r>
          </w:p>
        </w:tc>
      </w:tr>
      <w:tr>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Energía y Ambiente</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Microrred solar 9 MWp + biodigestores + PTAR industrial 80 m³/día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Autosuficiencia energética + excedente red</w:t>
            </w:r>
          </w:p>
        </w:tc>
        <w:tc>
          <w:tcPr>
            <w:tcW w:type="dxa" w:w="2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Res. 0631/2015 MADS + ISO 14001</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Centro Datos ALMA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Servidores GPU entrenamiento + almacenamiento 10 PB + blockchain Hyperledger Fabric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 PB datos/año + 1,000 TPS blockchain</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ISO 27001 + SOC 2 Type II</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8. ANÁLISIS AMBIENTAL Y ESTRATEGIA DE CARBONO</w:t>
      </w:r>
    </w:p>
    <w:p>
      <w:pPr>
        <w:spacing w:before="100" w:after="80" w:line="276" w:lineRule="auto"/>
        <w:jc w:val="both"/>
      </w:pPr>
      <w:r>
        <w:rPr>
          <w:rFonts w:ascii="Arial" w:cs="Arial" w:eastAsia="Arial" w:hAnsi="Arial"/>
          <w:b w:val="false"/>
          <w:bCs w:val="false"/>
          <w:color w:val="212529"/>
          <w:sz w:val="22"/>
          <w:szCs w:val="22"/>
        </w:rPr>
        <w:t xml:space="preserve">El Proyecto ALMA es, en su esencia, un proyecto ambiental tanto como lo es productivo y social. La restauración de los suelos degradados, la recuperación de la biodiversidad, la gestión sostenible del agua y la mitigación del cambio climático no son externalidades positivas del proyecto: son objetivos co-diseñados con las comunidades y medibles mediante indicadores cuantitativos rigurosos monitoreados en tiempo real por la Plataforma ALMA.</w:t>
      </w:r>
    </w:p>
    <w:p>
      <w:pPr>
        <w:pStyle w:val="Heading2"/>
        <w:spacing w:before="280" w:after="140" w:line="276" w:lineRule="auto"/>
      </w:pPr>
      <w:r>
        <w:rPr>
          <w:rFonts w:ascii="Arial" w:cs="Arial" w:eastAsia="Arial" w:hAnsi="Arial"/>
          <w:b/>
          <w:bCs/>
          <w:color w:val="2D6A4F"/>
          <w:sz w:val="29"/>
          <w:szCs w:val="29"/>
        </w:rPr>
        <w:t xml:space="preserve">8.1 Restauración de Suelos y Biodiversidad Edáfica</w:t>
      </w:r>
    </w:p>
    <w:p>
      <w:pPr>
        <w:spacing w:before="100" w:after="80" w:line="276" w:lineRule="auto"/>
        <w:jc w:val="both"/>
      </w:pPr>
      <w:r>
        <w:rPr>
          <w:rFonts w:ascii="Arial" w:cs="Arial" w:eastAsia="Arial" w:hAnsi="Arial"/>
          <w:b w:val="false"/>
          <w:bCs w:val="false"/>
          <w:color w:val="212529"/>
          <w:sz w:val="22"/>
          <w:szCs w:val="22"/>
        </w:rPr>
        <w:t xml:space="preserve">El modelo de agricultura regenerativa de ALMA, guiado por los análisis metagenómicos continuos de MinION, opera sobre siete principios fundamentales: cobertura permanente del suelo (eliminación del suelo desnudo), diversidad funcional de cultivos, mínima perturbación mecánica, integración de componentes perennes, incorporación continua de materia orgánica, gestión del biota del suelo y eliminación de agroquímicos de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Indicador Ambiental</w:t>
            </w:r>
          </w:p>
        </w:tc>
        <w:tc>
          <w:tcPr>
            <w:tcW w:type="dxa" w:w="16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Línea Base (2026)</w:t>
            </w:r>
          </w:p>
        </w:tc>
        <w:tc>
          <w:tcPr>
            <w:tcW w:type="dxa" w:w="16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Meta Año 5</w:t>
            </w:r>
          </w:p>
        </w:tc>
        <w:tc>
          <w:tcPr>
            <w:tcW w:type="dxa" w:w="16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Meta Año 10</w:t>
            </w:r>
          </w:p>
        </w:tc>
        <w:tc>
          <w:tcPr>
            <w:tcW w:type="dxa" w:w="23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Método de Verificación ALMA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Materia orgánica suelo (0-20 cm)</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 promedio regional</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 (+56%)</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3.8% (+111%)</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Análisis IGAC bienal + MinION metagenómica anual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Diversidad microbiana (índice Shannon)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2.1 promedio Cauca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3.2 (+52%)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4.1 (+95%)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Metagenómica MinION 16S rRNA — base de datos NCBI</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Uso agroquímicos síntesis</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nivel estándar</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Reducción -35%</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Reducción -60%</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Registros ERP UAF + auditorías BPA anuales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Consumo agua riego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referencia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Reducción -30%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Reducción -40%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Medidores flujo WSN + IDEAM puntos control</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Cobertura vegetal perenne</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del área</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65% del área</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80% del área</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Clasificación imágenes Sentinel-2 anuales + SIG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Calidad agua cuencas (ICA IDEAM)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Regular (40-59)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Aceptable (60-79)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Buena (80+)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Monitoreo IDEAM semestral + WSN calidad agua</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Especies aves migratorias UAF</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 sp. promedio</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~22 sp.</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sp.</w:t>
            </w:r>
          </w:p>
        </w:tc>
        <w:tc>
          <w:tcPr>
            <w:tcW w:type="dxa" w:w="2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Censos ornitológicos anuales + BirdLife Colombia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Erosión suelo (ton/ha/año)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~8.5 ton/ha laderas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4 ton/ha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2 ton/ha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Modelo RUSLE + WSN topografía + SIG pendientes</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8.2 Estrategia de Carbono: Captura, Reducción y Comercialización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D8F3DC" w:val="clear"/>
            <w:tcMar>
              <w:top w:type="dxa" w:w="160"/>
              <w:left w:type="dxa" w:w="240"/>
              <w:bottom w:type="dxa" w:w="160"/>
              <w:right w:type="dxa" w:w="160"/>
            </w:tcMar>
          </w:tcPr>
          <w:p>
            <w:pPr>
              <w:spacing w:before="0" w:after="0" w:line="276" w:lineRule="auto"/>
              <w:jc w:val="both"/>
            </w:pPr>
            <w:r>
              <w:rPr>
                <w:rFonts w:ascii="Arial" w:cs="Arial" w:eastAsia="Arial" w:hAnsi="Arial"/>
                <w:color w:val="1B4332"/>
                <w:sz w:val="21"/>
                <w:szCs w:val="21"/>
              </w:rPr>
              <w:t xml:space="preserve">ALMA está diseñado como un sumidero neto de carbono: captura más CO₂ del que emite en todas sus operaciones combinadas. La estrategia de carbono integra seis mecanismos complementarios certificados bajo los estándares internacionales más rigurosos, generando un flujo de ingresos completamente nuevo que crece con el tiempo por efectos combinados de devaluación del COP y apreciación del precio del carbono en mercados voluntarios.</w:t>
            </w:r>
          </w:p>
        </w:tc>
      </w:tr>
    </w:tbl>
    <w:p>
      <w:r>
        <w:rPr>
          <w:sz w:val="20"/>
          <w:szCs w:val="20"/>
        </w:rPr>
        <w:t xml:space="preserve"/>
      </w:r>
    </w:p>
    <w:p>
      <w:pPr>
        <w:pStyle w:val="Heading3"/>
        <w:spacing w:before="220" w:after="100" w:line="276" w:lineRule="auto"/>
      </w:pPr>
      <w:r>
        <w:rPr>
          <w:rFonts w:ascii="Arial" w:cs="Arial" w:eastAsia="Arial" w:hAnsi="Arial"/>
          <w:b/>
          <w:bCs/>
          <w:color w:val="264653"/>
          <w:sz w:val="25"/>
          <w:szCs w:val="25"/>
        </w:rPr>
        <w:t xml:space="preserve">8.2.1 Secuestro de Carbono en Suelos Regenerativos</w:t>
      </w:r>
    </w:p>
    <w:p>
      <w:pPr>
        <w:spacing w:before="100" w:after="80" w:line="276" w:lineRule="auto"/>
        <w:jc w:val="both"/>
      </w:pPr>
      <w:r>
        <w:rPr>
          <w:rFonts w:ascii="Arial" w:cs="Arial" w:eastAsia="Arial" w:hAnsi="Arial"/>
          <w:b w:val="false"/>
          <w:bCs w:val="false"/>
          <w:color w:val="212529"/>
          <w:sz w:val="22"/>
          <w:szCs w:val="22"/>
        </w:rPr>
        <w:t xml:space="preserve">La recuperación de materia orgánica del suelo proyectada para las 90,000 hectáreas implica un secuestro de carbono de aproximadamente 3.0 tCO₂e/ha/año durante los primeros 10 años, calculado mediante la metodología VM0017 de Verra (el principal estándar del mercado voluntario). Con un precio conservador de USD 22/tCO₂e (base 2026) y ramp-up progresivo según adopción de prácticas regenerativas, el portafolio completo puede certificar y comercializar 270,000 toneladas de créditos en plena operación. El monitoreo continuo con MinION, WSN y drones proporciona la documentación técnica que los auditores Verra exigen, reduciendo drásticamente el costo de verificación y aumentando la confiabilidad de los créditos.</w:t>
      </w:r>
    </w:p>
    <w:p>
      <w:pPr>
        <w:pStyle w:val="Heading3"/>
        <w:spacing w:before="220" w:after="100" w:line="276" w:lineRule="auto"/>
      </w:pPr>
      <w:r>
        <w:rPr>
          <w:rFonts w:ascii="Arial" w:cs="Arial" w:eastAsia="Arial" w:hAnsi="Arial"/>
          <w:b/>
          <w:bCs/>
          <w:color w:val="264653"/>
          <w:sz w:val="25"/>
          <w:szCs w:val="25"/>
        </w:rPr>
        <w:t xml:space="preserve">8.2.2 Reducción de Emisiones por Biocombustibles</w:t>
      </w:r>
    </w:p>
    <w:p>
      <w:pPr>
        <w:spacing w:before="100" w:after="80" w:line="276" w:lineRule="auto"/>
        <w:jc w:val="both"/>
      </w:pPr>
      <w:r>
        <w:rPr>
          <w:rFonts w:ascii="Arial" w:cs="Arial" w:eastAsia="Arial" w:hAnsi="Arial"/>
          <w:b w:val="false"/>
          <w:bCs w:val="false"/>
          <w:color w:val="212529"/>
          <w:sz w:val="22"/>
          <w:szCs w:val="22"/>
        </w:rPr>
        <w:t xml:space="preserve">La producción de biodiesel de Jatrofa (20,000 ha en plena operación) suministra biocombustible al mercado interno (B10 obligatorio Ley 939/2004) y exporta SAF a aerolíneas internacionales. Cada tonelada de biodiesel B100 de Jatrofa evita 2.8 toneladas de CO₂e comparado con el diésel fósil (análisis ciclo de vida completo ISO 14040). Con una producción de 28,800 ton/año en plena operación, el proyecto evita 80,640 tCO₂e anuales solo por el componente de biocombustibles. La sustitución de agroquímicos de síntesis por bioinsumos en las 90,000 hectáreas evita adicionalmente la emisión de óxido nitroso (N₂O, GWP 265 veces el CO₂) asociada a la nitrificación de fertilizantes sintéticos.</w:t>
      </w:r>
    </w:p>
    <w:p>
      <w:pPr>
        <w:pStyle w:val="Heading3"/>
        <w:spacing w:before="220" w:after="100" w:line="276" w:lineRule="auto"/>
      </w:pPr>
      <w:r>
        <w:rPr>
          <w:rFonts w:ascii="Arial" w:cs="Arial" w:eastAsia="Arial" w:hAnsi="Arial"/>
          <w:b/>
          <w:bCs/>
          <w:color w:val="264653"/>
          <w:sz w:val="25"/>
          <w:szCs w:val="25"/>
        </w:rPr>
        <w:t xml:space="preserve">8.2.3 Biodigestión y Economía Circular Energética</w:t>
      </w:r>
    </w:p>
    <w:p>
      <w:pPr>
        <w:spacing w:before="100" w:after="80" w:line="276" w:lineRule="auto"/>
        <w:jc w:val="both"/>
      </w:pPr>
      <w:r>
        <w:rPr>
          <w:rFonts w:ascii="Arial" w:cs="Arial" w:eastAsia="Arial" w:hAnsi="Arial"/>
          <w:b w:val="false"/>
          <w:bCs w:val="false"/>
          <w:color w:val="212529"/>
          <w:sz w:val="22"/>
          <w:szCs w:val="22"/>
        </w:rPr>
        <w:t xml:space="preserve">Los 200 biodigestores modulares capturan el metano generado por la degradación anaerobia de residuos orgánicos (pulpa de café, estiércol bovino, vinaza, residuos de cosecha) que, sin captura, se emitiría directamente a la atmósfera. El metano tiene GWP de 28 veces el CO₂ en horizonte 100 años; su captura como biogás para generación eléctrica o térmica constituye tanto reducción de emisiones como captura de un gas de alta potencia. La generación solar fotovoltaica de 25 MWp en las UAP y la Zona Franca sustituye la electricidad de la red nacional, con factor de emisión 0.282 kgCO₂/kWh (XM Colombia 2025), evitando 18,000 toneladas adicionales de CO₂ por año.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8.3 Gestión del Agua y Resiliencia Hídrica</w:t>
      </w:r>
    </w:p>
    <w:p>
      <w:pPr>
        <w:spacing w:before="100" w:after="80" w:line="276" w:lineRule="auto"/>
        <w:jc w:val="both"/>
      </w:pPr>
      <w:r>
        <w:rPr>
          <w:rFonts w:ascii="Arial" w:cs="Arial" w:eastAsia="Arial" w:hAnsi="Arial"/>
          <w:b w:val="false"/>
          <w:bCs w:val="false"/>
          <w:color w:val="212529"/>
          <w:sz w:val="22"/>
          <w:szCs w:val="22"/>
        </w:rPr>
        <w:t xml:space="preserve">La gestión sostenible del agua es crítica en una región donde el cambio climático está intensificando tanto las sequías como los eventos de lluvia extrema. La Plataforma ALMA implementa un enfoque de gestión integrada del recurso hídrico que combina tecnología de precisión con restauración de funciones ecosistémicas:</w:t>
      </w:r>
    </w:p>
    <w:p>
      <w:pPr>
        <w:pStyle w:val="ListParagraph"/>
        <w:numPr>
          <w:ilvl w:val="0"/>
          <w:numId w:val="2"/>
        </w:numPr>
        <w:spacing w:before="60" w:after="60" w:line="276" w:lineRule="auto"/>
      </w:pPr>
      <w:r>
        <w:rPr>
          <w:rFonts w:ascii="Arial" w:cs="Arial" w:eastAsia="Arial" w:hAnsi="Arial"/>
          <w:color w:val="212529"/>
          <w:sz w:val="22"/>
          <w:szCs w:val="22"/>
        </w:rPr>
        <w:t xml:space="preserve">Riego de precisión: balance hídrico Penman-Monteith calibrado con datos WSN a escala parcela (1 sensor por 2 ha), reduciendo el consumo en 30-40% vs. riego convencional. El sistema activa automáticamente las válvulas cuando la humedad volumétrica cae bajo el umbral crítico calculado por Neuralzoo para cada tipo de suelo y estadío fenológico.</w:t>
      </w:r>
    </w:p>
    <w:p>
      <w:pPr>
        <w:pStyle w:val="ListParagraph"/>
        <w:numPr>
          <w:ilvl w:val="0"/>
          <w:numId w:val="2"/>
        </w:numPr>
        <w:spacing w:before="60" w:after="60" w:line="276" w:lineRule="auto"/>
      </w:pPr>
      <w:r>
        <w:rPr>
          <w:rFonts w:ascii="Arial" w:cs="Arial" w:eastAsia="Arial" w:hAnsi="Arial"/>
          <w:color w:val="212529"/>
          <w:sz w:val="22"/>
          <w:szCs w:val="22"/>
        </w:rPr>
        <w:t xml:space="preserve">Captación y almacenamiento: microreservorios comunitarios 5,000-10,000 m³ en zonas con bimodal climático, dimensionados por el SIG según topografía y régimen pluviométrico local.</w:t>
      </w:r>
    </w:p>
    <w:p>
      <w:pPr>
        <w:pStyle w:val="ListParagraph"/>
        <w:numPr>
          <w:ilvl w:val="0"/>
          <w:numId w:val="2"/>
        </w:numPr>
        <w:spacing w:before="60" w:after="60" w:line="276" w:lineRule="auto"/>
      </w:pPr>
      <w:r>
        <w:rPr>
          <w:rFonts w:ascii="Arial" w:cs="Arial" w:eastAsia="Arial" w:hAnsi="Arial"/>
          <w:color w:val="212529"/>
          <w:sz w:val="22"/>
          <w:szCs w:val="22"/>
        </w:rPr>
        <w:t xml:space="preserve">Restauración de rondas hídricas: reforestación con especies nativas en todos los corredores de quebradas y ríos que atraviesan las UAF/UAP, seleccionadas por MinION para compatibilidad con microbiomas nativos y máxima función de regulación hidrológica.</w:t>
      </w:r>
    </w:p>
    <w:p>
      <w:pPr>
        <w:pStyle w:val="ListParagraph"/>
        <w:numPr>
          <w:ilvl w:val="0"/>
          <w:numId w:val="2"/>
        </w:numPr>
        <w:spacing w:before="60" w:after="60" w:line="276" w:lineRule="auto"/>
      </w:pPr>
      <w:r>
        <w:rPr>
          <w:rFonts w:ascii="Arial" w:cs="Arial" w:eastAsia="Arial" w:hAnsi="Arial"/>
          <w:color w:val="212529"/>
          <w:sz w:val="22"/>
          <w:szCs w:val="22"/>
        </w:rPr>
        <w:t xml:space="preserve">Tratamiento de aguas residuales: PTAR biológico en las tres plantas industriales (320 m³/día total) con monitoreo en tiempo real WSN, cumpliendo Decreto 1076 de 2015 y Resolución 0631 de 2015 del MADS.</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9. ANÁLISIS SOCIOECONÓMICO E IMPACTO TERRITORIAL</w:t>
      </w:r>
    </w:p>
    <w:p>
      <w:pPr>
        <w:spacing w:before="100" w:after="80" w:line="276" w:lineRule="auto"/>
        <w:jc w:val="both"/>
      </w:pPr>
      <w:r>
        <w:rPr>
          <w:rFonts w:ascii="Arial" w:cs="Arial" w:eastAsia="Arial" w:hAnsi="Arial"/>
          <w:b w:val="false"/>
          <w:bCs w:val="false"/>
          <w:color w:val="212529"/>
          <w:sz w:val="22"/>
          <w:szCs w:val="22"/>
        </w:rPr>
        <w:t xml:space="preserve">La Plataforma ALMA se diseña explícitamente para transformar las condiciones de vida de la población rural del suroccidente colombiano, y no solo para optimizar la producción agroindustrial. La generación de empleo digno, la redistribución del valor económico, la formalización de derechos territoriales y el fortalecimiento del tejido social comunitario son indicadores de éxito del proyecto tan importantes como la TIR o el VPN.</w:t>
      </w:r>
    </w:p>
    <w:p>
      <w:pPr>
        <w:pStyle w:val="Heading2"/>
        <w:spacing w:before="280" w:after="140" w:line="276" w:lineRule="auto"/>
      </w:pPr>
      <w:r>
        <w:rPr>
          <w:rFonts w:ascii="Arial" w:cs="Arial" w:eastAsia="Arial" w:hAnsi="Arial"/>
          <w:b/>
          <w:bCs/>
          <w:color w:val="2D6A4F"/>
          <w:sz w:val="29"/>
          <w:szCs w:val="29"/>
        </w:rPr>
        <w:t xml:space="preserve">9.1 Generación de Empleo y Transformación del Trabajo Rural</w:t>
      </w:r>
    </w:p>
    <w:p>
      <w:pPr>
        <w:spacing w:before="100" w:after="80" w:line="276" w:lineRule="auto"/>
        <w:jc w:val="both"/>
      </w:pPr>
      <w:r>
        <w:rPr>
          <w:rFonts w:ascii="Arial" w:cs="Arial" w:eastAsia="Arial" w:hAnsi="Arial"/>
          <w:b w:val="false"/>
          <w:bCs w:val="false"/>
          <w:color w:val="212529"/>
          <w:sz w:val="22"/>
          <w:szCs w:val="22"/>
        </w:rPr>
        <w:t xml:space="preserve">La Plataforma ALMA generará en su horizonte completo (año 10) la siguiente estructura de empleo. La distinción crítica con proyectos agroindustriales convencionales es la composición: ALMA genera 18% de empleos técnicos calificados en tecnología, versus el 8% promedio del sector agrícola colombiano, lo que representa una transformación estructural del perfil laboral rural del suroccidente.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400"/>
        <w:gridCol w:w="3360"/>
      </w:tblGrid>
      <w:tr>
        <w:trPr>
          <w:tblHeader/>
        </w:trPr>
        <w:tc>
          <w:tcPr>
            <w:tcW w:type="dxa" w:w="18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 de Empleo</w:t>
            </w:r>
          </w:p>
        </w:tc>
        <w:tc>
          <w:tcPr>
            <w:tcW w:type="dxa" w:w="12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Cantidad (Año 10)</w:t>
            </w:r>
          </w:p>
        </w:tc>
        <w:tc>
          <w:tcPr>
            <w:tcW w:type="dxa" w:w="16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Perfil</w:t>
            </w:r>
          </w:p>
        </w:tc>
        <w:tc>
          <w:tcPr>
            <w:tcW w:type="dxa" w:w="140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Ingreso Promedio Mensual</w:t>
            </w:r>
          </w:p>
        </w:tc>
        <w:tc>
          <w:tcPr>
            <w:tcW w:type="dxa" w:w="3360"/>
            <w:tcBorders>
              <w:top w:val="single" w:color="6A1B9A" w:sz="4"/>
              <w:left w:val="single" w:color="6A1B9A" w:sz="4"/>
              <w:bottom w:val="single" w:color="6A1B9A" w:sz="4"/>
              <w:right w:val="single" w:color="6A1B9A" w:sz="4"/>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Aporte ALMA</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Jornaleros en UAF (campo)</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 agrícola + capacitación ALMA básica</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 SMLMV</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Acceso datos Neuralzoo móvil + alertas WSN → menor pérdida por plagas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Técnicos agrícolas UAP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5,200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SENA técnico o tecnólogo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2.5 SMLMV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Operación equipos ALMA, interpretación datos campo, gestión bioinsumos</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Operarios industriales UAP</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3,800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SENA técnico industrial certificado</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 SMLMV</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Operación plantas P1+P2+P3, control calidad, blockchain trazabilidad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Técnicos IA/WSN/genómica (NUEVOS)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Tecnólogo SENA + universidad regional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 SMLMV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nuevos — solo existen con la Plataforma ALMA. Perfil más demandado</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Investigadores y científicos UAI</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420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Profesional con posgrado</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6.0 SMLMV</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Co-autores publicaciones científicas UAI — visibilidad académica internacional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Extensionistas y técnicos UAI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Profesional o tecnólogo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3.5 SMLMV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Puente entre datos Neuralzoo y decisiones agronómicas de agricultores UAF</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Personal Zona Franca ALMA</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1,200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 a profesional</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 SMLMV</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Gestión exportación, aduanas, logística, certificación pharma-grade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Administración y gobernanza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580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Profesional especializado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4.0 SMLMV</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Consejos Territoriales, gestión fiduciaria, relaciones inversionistas</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TOTAL EMPLEOS DIRECTOS</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28,500+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Todos con prestaciones sociales formales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Promedio: 2.9 SMLMV</w:t>
            </w:r>
          </w:p>
        </w:tc>
        <w:tc>
          <w:tcPr>
            <w:tcW w:type="dxa" w:w="33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Multiplicador regional: 2.8x → ~80,000 empleos indirectos</w:t>
            </w:r>
          </w:p>
        </w:tc>
      </w:tr>
    </w:tbl>
    <w:p>
      <w:pPr>
        <w:spacing w:before="100" w:after="80" w:line="276" w:lineRule="auto"/>
        <w:jc w:val="both"/>
      </w:pPr>
      <w:r>
        <w:rPr>
          <w:rFonts w:ascii="Arial" w:cs="Arial" w:eastAsia="Arial" w:hAnsi="Arial"/>
          <w:b w:val="false"/>
          <w:bCs w:val="false"/>
          <w:color w:val="212529"/>
          <w:sz w:val="22"/>
          <w:szCs w:val="22"/>
        </w:rPr>
        <w:t xml:space="preserve">Los empleos indirectos generados —en transporte, servicios, proveeduría de insumos, turismo científico y agroturismo— se estiman en 80,000-100,000 personas adicionales en el horizonte del proyecto. El multiplicador económico regional proyectado en 2.8x es significativamente superior al promedio de proyectos agroindustriales convencionales (1.4-1.8x), gracias al encadenamiento de valor local de la Zona Franca, el modelo de economía solidaria de las UAP y los nuevos empleos tecnológicos que reinvierten sus ingresos en la región.</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9.2 Impacto en la Reducción de la Pobreza Rural</w:t>
      </w:r>
    </w:p>
    <w:p>
      <w:pPr>
        <w:spacing w:before="100" w:after="80" w:line="276" w:lineRule="auto"/>
        <w:jc w:val="both"/>
      </w:pPr>
      <w:r>
        <w:rPr>
          <w:rFonts w:ascii="Arial" w:cs="Arial" w:eastAsia="Arial" w:hAnsi="Arial"/>
          <w:b w:val="false"/>
          <w:bCs w:val="false"/>
          <w:color w:val="212529"/>
          <w:sz w:val="22"/>
          <w:szCs w:val="22"/>
        </w:rPr>
        <w:t xml:space="preserve">La modelación del impacto socioeconómico utiliza la metodología del Índice de Pobreza Multidimensional (IPM) del DANE, que mide privaciones en cinco dimensiones: educación, salud, trabajo, vivienda y acceso a servicios. La proyección de impacto sobre las 30,000 familias UAF al año 5 es la siguiente:</w:t>
      </w:r>
    </w:p>
    <w:p>
      <w:pPr>
        <w:pStyle w:val="ListParagraph"/>
        <w:numPr>
          <w:ilvl w:val="0"/>
          <w:numId w:val="2"/>
        </w:numPr>
        <w:spacing w:before="60" w:after="60" w:line="276" w:lineRule="auto"/>
      </w:pPr>
      <w:r>
        <w:rPr>
          <w:rFonts w:ascii="Arial" w:cs="Arial" w:eastAsia="Arial" w:hAnsi="Arial"/>
          <w:color w:val="212529"/>
          <w:sz w:val="22"/>
          <w:szCs w:val="22"/>
        </w:rPr>
        <w:t xml:space="preserve">Reducción del IPM rural: de 68.4% (línea base 2026) a 35% estimado en año 5, equivalente a 100,000 personas saliendo de la pobreza multidimensional. La tecnología ALMA acelera esta reducción al aumentar el ingreso familiar en un 200% (de COP 800k a COP 2.4M/mes) y al proveer acceso real a servicios digitales de salud, educación y gobierno.</w:t>
      </w:r>
    </w:p>
    <w:p>
      <w:pPr>
        <w:pStyle w:val="ListParagraph"/>
        <w:numPr>
          <w:ilvl w:val="0"/>
          <w:numId w:val="2"/>
        </w:numPr>
        <w:spacing w:before="60" w:after="60" w:line="276" w:lineRule="auto"/>
      </w:pPr>
      <w:r>
        <w:rPr>
          <w:rFonts w:ascii="Arial" w:cs="Arial" w:eastAsia="Arial" w:hAnsi="Arial"/>
          <w:color w:val="212529"/>
          <w:sz w:val="22"/>
          <w:szCs w:val="22"/>
        </w:rPr>
        <w:t xml:space="preserve">Formalización del 85% de los empleos generados con afiliación a seguridad social (salud, pensión, ARL), versus el 12% de formalización actual en el sector agropecuario regional (DANE, 2024). La trazabilidad blockchain de ALMA hace imposible el empleo informal: cada transacción en la cadena está registrada con identificación del trabajador.</w:t>
      </w:r>
    </w:p>
    <w:p>
      <w:pPr>
        <w:pStyle w:val="ListParagraph"/>
        <w:numPr>
          <w:ilvl w:val="0"/>
          <w:numId w:val="2"/>
        </w:numPr>
        <w:spacing w:before="60" w:after="60" w:line="276" w:lineRule="auto"/>
      </w:pPr>
      <w:r>
        <w:rPr>
          <w:rFonts w:ascii="Arial" w:cs="Arial" w:eastAsia="Arial" w:hAnsi="Arial"/>
          <w:color w:val="212529"/>
          <w:sz w:val="22"/>
          <w:szCs w:val="22"/>
        </w:rPr>
        <w:t xml:space="preserve">Reducción de la migración rural-urbana: la proyección muestra reducción del 60% respecto a la tendencia histórica cuando los ingresos rurales superan 2 SMLMV de forma estable y los jóvenes tienen acceso a empleos tecnológicos calificados en su territorio de origen.</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9.3 Justicia de Género y Empoderamiento Femenino</w:t>
      </w:r>
    </w:p>
    <w:p>
      <w:pPr>
        <w:spacing w:before="100" w:after="80" w:line="276" w:lineRule="auto"/>
        <w:jc w:val="both"/>
      </w:pPr>
      <w:r>
        <w:rPr>
          <w:rFonts w:ascii="Arial" w:cs="Arial" w:eastAsia="Arial" w:hAnsi="Arial"/>
          <w:b w:val="false"/>
          <w:bCs w:val="false"/>
          <w:color w:val="212529"/>
          <w:sz w:val="22"/>
          <w:szCs w:val="22"/>
        </w:rPr>
        <w:t xml:space="preserve">La Plataforma ALMA adopta un enfoque transformador de género que va más allá de la inclusión simbólica. La tecnología es el principal igualador de género en el campo: los algoritmos de Neuralzoo no discriminan por género, los datos de MinION son igualmente válidos si los toma una mujer, y los roles técnicos de WSN y blockchain son accesibles a quien reciba la formación. Las estrategias específicas incluyen: reserva del 50% de UAF para mujeres cabeza de hogar, cuota mínima del 50% en Consejos Territoriales, programa de formación técnica en ALMA (MinION, Neuralzoo, WSN) con cuota del 30% para mujeres, líneas de crédito preferenciales para empresas lideradas por mujeres en la Zona Franca, y programa de liderazgo rural femenino en alianza con ONU Mujeres Colombia.</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10. PLAN DE IMPLEMENTACIÓN: CRONOGRAMA 2026-2036</w:t>
      </w:r>
    </w:p>
    <w:p>
      <w:pPr>
        <w:spacing w:before="100" w:after="80" w:line="276" w:lineRule="auto"/>
        <w:jc w:val="both"/>
      </w:pPr>
      <w:r>
        <w:rPr>
          <w:rFonts w:ascii="Arial" w:cs="Arial" w:eastAsia="Arial" w:hAnsi="Arial"/>
          <w:b w:val="false"/>
          <w:bCs w:val="false"/>
          <w:color w:val="212529"/>
          <w:sz w:val="22"/>
          <w:szCs w:val="22"/>
        </w:rPr>
        <w:t xml:space="preserve">El plan de implementación de la Plataforma ALMA sigue una lógica de escalamiento progresivo fundamentada en evidencia: no se despliegan tecnologías a escala antes de validarlas en pilotos controlados en las UAI, no se escalan UAF antes de confirmar la demanda de mercado con los primeros contratos off-take, y no se construye infraestructura industrial antes de tener la producción agrícola suficiente para operarla eficientemente. Este principio reduce el riesgo de inversión y garantiza la apropiación comunitaria y tecnológica de cada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600"/>
        <w:gridCol w:w="2400"/>
        <w:gridCol w:w="1460"/>
      </w:tblGrid>
      <w:tr>
        <w:trPr>
          <w:tblHeader/>
        </w:trPr>
        <w:tc>
          <w:tcPr>
            <w:tcW w:type="dxa" w:w="18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Fase</w:t>
            </w:r>
          </w:p>
        </w:tc>
        <w:tc>
          <w:tcPr>
            <w:tcW w:type="dxa" w:w="11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Período</w:t>
            </w:r>
          </w:p>
        </w:tc>
        <w:tc>
          <w:tcPr>
            <w:tcW w:type="dxa" w:w="26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Actividades Principales</w:t>
            </w:r>
          </w:p>
        </w:tc>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Hitos Clave</w:t>
            </w:r>
          </w:p>
        </w:tc>
        <w:tc>
          <w:tcPr>
            <w:tcW w:type="dxa" w:w="14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Inversión Estimada</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Fase 0 — Diagnóstico y Estructuración</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Meses 0-6</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Mapeo SIG línea base genómica y social, consultas previas comunidades étnicas, due diligence 80,000 ha tierra, constitución SAS + ZF trámite, firma acuerdos ABS, selección predios piloto, firma contratos off-take acero pharma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Línea base completada; 3 nodos piloto definidos; Consejos Territoriales conformados; equity Q2 comprometido; contratos tierra firmados</w:t>
            </w:r>
          </w:p>
        </w:tc>
        <w:tc>
          <w:tcPr>
            <w:tcW w:type="dxa" w:w="1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8,500 MM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Fase 1 — Pilotos Tecnológicos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Meses 7-18</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Implementación 3 pilotos (Cauca, Valle, Eje); 300 familias UAF activas; despliegue MinION+WSN+drones; inicio siembra Bloque A 10,000 ha; construcción Planta P1 inicio; Neuralzoo edge operativo; primeros ensayos gasotransmisores UAI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500 muestras MinION/nodo procesadas; alertas fitosanitarias automáticas &lt;72h; primeras 10,000 ha sembradas; modelos Neuralzoo calibrados con datos locales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45,000 MM</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Fase 2 — Consolidación Industrial</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Años 2-4</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Replicación prácticas validadas; 30,000 UAF adicionales; Plantas P2+P3 operativas; instalación biodigestores + solar; certificaciones orgánicas + VM0017 Verra; constitución legal Zona Franca; primeras exportaciones pharma-grade</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Primera exportación aceite pharma-grade FOB; primera venta créditos carbono; ZF Palmira operativa; payback Sacha Inchi; DSCR &gt; 1.2x portafolio</w:t>
            </w:r>
          </w:p>
        </w:tc>
        <w:tc>
          <w:tcPr>
            <w:tcW w:type="dxa" w:w="1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380,000 MM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Fase 3 — Escalamiento Pleno</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Años 5-7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Cobertura 30,000 UAF activas; plena operación industrial UAP + 3 plantas; consolidación ZF; expansión mercados internacionales; optimización modelos Neuralzoo; autosostenibilidad financiera portafolio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portafolio positivo con datos reales; payback Higuerilla; CO₂ evitado &gt; 1 Mt/año; DSCR &gt; 1.5x; primeras empresas ancla ZF instaladas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350,000 MM</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Fase 4 — Madurez e Innovación</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Años 8-10</w:t>
            </w:r>
          </w:p>
        </w:tc>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Optimización tecnológica plataforma; expansión I+D ZF con empresas ancla; nuevas líneas producto nutraceútico; centro innovación propio; replicabilidad modelo en otras regiones Colombia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portafolio ALMA &gt; COP 1.15 billones; 28,500 empleos directos; 1.5M tCO₂e/año evitadas; score ESG &gt; 80/100 MSCI estimado</w:t>
            </w:r>
          </w:p>
        </w:tc>
        <w:tc>
          <w:tcPr>
            <w:tcW w:type="dxa" w:w="14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153,000 MM</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10.1 Nodos Piloto del Año 1</w:t>
      </w:r>
    </w:p>
    <w:p>
      <w:pPr>
        <w:spacing w:before="100" w:after="80" w:line="276" w:lineRule="auto"/>
        <w:jc w:val="both"/>
      </w:pPr>
      <w:r>
        <w:rPr>
          <w:rFonts w:ascii="Arial" w:cs="Arial" w:eastAsia="Arial" w:hAnsi="Arial"/>
          <w:b w:val="false"/>
          <w:bCs w:val="false"/>
          <w:color w:val="212529"/>
          <w:sz w:val="22"/>
          <w:szCs w:val="22"/>
        </w:rPr>
        <w:t xml:space="preserve">Los tres pilotos del primer año constituyen la prueba de concepto de la Plataforma ALMA y deben ser diseñados para maximizar el aprendizaje, la visibilidad y la legitimidad comunitaria: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2700"/>
        <w:gridCol w:w="1760"/>
      </w:tblGrid>
      <w:tr>
        <w:trPr>
          <w:tblHeader/>
        </w:trPr>
        <w:tc>
          <w:tcPr>
            <w:tcW w:type="dxa" w:w="12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Nodo Piloto</w:t>
            </w:r>
          </w:p>
        </w:tc>
        <w:tc>
          <w:tcPr>
            <w:tcW w:type="dxa" w:w="18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Ubicación</w:t>
            </w:r>
          </w:p>
        </w:tc>
        <w:tc>
          <w:tcPr>
            <w:tcW w:type="dxa" w:w="19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Enfoque Productivo</w:t>
            </w:r>
          </w:p>
        </w:tc>
        <w:tc>
          <w:tcPr>
            <w:tcW w:type="dxa" w:w="270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Tecnología ALMA Clave</w:t>
            </w:r>
          </w:p>
        </w:tc>
        <w:tc>
          <w:tcPr>
            <w:tcW w:type="dxa" w:w="1760"/>
            <w:tcBorders>
              <w:top w:val="single" w:color="264653" w:sz="4"/>
              <w:left w:val="single" w:color="264653" w:sz="4"/>
              <w:bottom w:val="single" w:color="264653" w:sz="4"/>
              <w:right w:val="single" w:color="264653" w:sz="4"/>
            </w:tcBorders>
            <w:shd w:fill="26465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Familias UAF Año 1</w:t>
            </w:r>
          </w:p>
        </w:tc>
      </w:tr>
      <w:tr>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Nodo Cauca</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Norte del Cauca (Santander de Quilichao o Buenos Aires)</w:t>
            </w:r>
          </w:p>
        </w:tc>
        <w:tc>
          <w:tcPr>
            <w:tcW w:type="dxa" w:w="1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Higuerilla + Cacao + restauración de cuencas hídricas</w:t>
            </w:r>
          </w:p>
        </w:tc>
        <w:tc>
          <w:tcPr>
            <w:tcW w:type="dxa" w:w="2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UAI móvil con MinION, WSN 500 nodos, Neuralzoo edge v1, 2 drones multiespectrales</w:t>
            </w:r>
          </w:p>
        </w:tc>
        <w:tc>
          <w:tcPr>
            <w:tcW w:type="dxa" w:w="1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80 familias (40%+ víctimas RUV)</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Nodo Valle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Valle geográfico sur (Pradera o Candelaria)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Higuerilla + Jatrofa + hortofrutícola premium</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UAP planta compostaje + drones mapeo NDVI + Neuralzoo v1 + inicio obra Planta P1</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familias</w:t>
            </w:r>
          </w:p>
        </w:tc>
      </w:tr>
      <w:tr>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Nodo Eje</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Eje Norte (Chinchiná o Santa Rosa de Cabal)</w:t>
            </w:r>
          </w:p>
        </w:tc>
        <w:tc>
          <w:tcPr>
            <w:tcW w:type="dxa" w:w="19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Sacha Inchi + Café especial + biodigestión</w:t>
            </w:r>
          </w:p>
        </w:tc>
        <w:tc>
          <w:tcPr>
            <w:tcW w:type="dxa" w:w="27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UAI fija MinION (roya café) + biodigestor 50 m³ + WSN cafetera 300 nodos</w:t>
            </w:r>
          </w:p>
        </w:tc>
        <w:tc>
          <w:tcPr>
            <w:tcW w:type="dxa" w:w="1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120 familias</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11. SISTEMA DE MONITOREO, EVALUACIÓN Y KPIs</w:t>
      </w:r>
    </w:p>
    <w:p>
      <w:pPr>
        <w:spacing w:before="100" w:after="80" w:line="276" w:lineRule="auto"/>
        <w:jc w:val="both"/>
      </w:pPr>
      <w:r>
        <w:rPr>
          <w:rFonts w:ascii="Arial" w:cs="Arial" w:eastAsia="Arial" w:hAnsi="Arial"/>
          <w:b w:val="false"/>
          <w:bCs w:val="false"/>
          <w:color w:val="212529"/>
          <w:sz w:val="22"/>
          <w:szCs w:val="22"/>
        </w:rPr>
        <w:t xml:space="preserve">El sistema de monitoreo de la Plataforma ALMA integra indicadores cuantitativos y cualitativos en cuatro dimensiones —social, productiva, ambiental y financiera— con métricas desagregadas por género, etnia, región y tipo de unidad productiva. Los dashboards de Neuralzoo actualizarán los KPIs en tiempo real para los equipos técnicos, con reportes simplificados trimestrales para los Consejos Territoriales y auditorías externas anuales financieras, técnicas y de impacto social certificadas por tercero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500"/>
        <w:gridCol w:w="1560"/>
      </w:tblGrid>
      <w:tr>
        <w:trPr>
          <w:tblHeader/>
        </w:trPr>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4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c>
          <w:tcPr>
            <w:tcW w:type="dxa" w:w="15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Meta Año 5</w:t>
            </w:r>
          </w:p>
        </w:tc>
        <w:tc>
          <w:tcPr>
            <w:tcW w:type="dxa" w:w="150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Meta Año 10</w:t>
            </w:r>
          </w:p>
        </w:tc>
        <w:tc>
          <w:tcPr>
            <w:tcW w:type="dxa" w:w="1560"/>
            <w:tcBorders>
              <w:top w:val="single" w:color="1B4332" w:sz="4"/>
              <w:left w:val="single" w:color="1B4332" w:sz="4"/>
              <w:bottom w:val="single" w:color="1B4332" w:sz="4"/>
              <w:right w:val="single" w:color="1B4332" w:sz="4"/>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Frecuencia de Medición</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DIMENSIÓN SOCIAL</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UAF formalizadas (acumulado)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Familias con acuerdo firmado y UAF activa con acceso Neuralzoo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30,000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Mensual</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beneficiarios víctimas/étnicas</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Priorización grupos vulnerables en asignación UAF</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45%</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40%</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Semestral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mujeres en cargos decisión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Paridad género en gobernanza y roles técnicos ALMA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55%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Anual</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Personas capacitadas en ALMA tech</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Técnicos certificados MinION + WSN + Neuralzoo</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15,000</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50,000</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Trimestral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DIMENSIÓN PRODUCTIVA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Rendimiento aceites oleaginosos</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Ton aceite/ha vs. proyección BASE y ALMA</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95% proyección ALMA</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100%+ proyección ALMA</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Por cosecha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Muestras MinION procesadas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Diagnósticos moleculares realizados campo + UAI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8,000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15,000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Mensual</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Tiempo alerta fitosanitaria</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Desde muestreo campo a recomendación Neuralzoo</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48 horas</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&lt; 24 horas</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Por evento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Exportaciones valor agregado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millones FOB productos certificados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85 MM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380 MM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Trimestral</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DIMENSIÓN AMBIENTAL</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tCO₂e certificadas por año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Créditos VM0017 Verra verificados por tercero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500,000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1,500,000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Anual (Verra)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Materia orgánica suelo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en primeros 20 cm vs. línea base</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+ 1.0 pp</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+ 2.0 pp</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Bienal (IGAC)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Uptime red WSN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Disponibilidad 45,000 nodos sensores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97%</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98%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Continuo (SCADA)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Precisión modelos Neuralzoo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Exactitud predicciones rendimiento validadas</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85%</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&gt; 88%</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Por temporada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DIMENSIÓN FINANCIERA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VPN portafolio consolidado</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Actualización bienal con datos reales vs. proyección</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500+ B</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1.15+ B</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Bienal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DSCR (cobertura servicio deuda)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EBITDA / (Intereses + Amortización) ≥ 1.2x FINAGRO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1.3x</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1.5x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Semestral</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Inversión privada atraída (ZF)</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Compromisos inversión empresas ancla Zona Franca</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50 MM</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USD 200 MM</w:t>
            </w:r>
          </w:p>
        </w:tc>
        <w:tc>
          <w:tcPr>
            <w:tcW w:type="dxa" w:w="15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Anual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Ingresos créditos carbono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generados por venta créditos VM0017 certificados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35,000 MM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COP 152,000 MM/año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Anual</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12. GESTIÓN DE RIESGOS</w:t>
      </w:r>
    </w:p>
    <w:p>
      <w:pPr>
        <w:spacing w:before="100" w:after="80" w:line="276" w:lineRule="auto"/>
        <w:jc w:val="both"/>
      </w:pPr>
      <w:r>
        <w:rPr>
          <w:rFonts w:ascii="Arial" w:cs="Arial" w:eastAsia="Arial" w:hAnsi="Arial"/>
          <w:b w:val="false"/>
          <w:bCs w:val="false"/>
          <w:color w:val="212529"/>
          <w:sz w:val="22"/>
          <w:szCs w:val="22"/>
        </w:rPr>
        <w:t xml:space="preserve">El análisis de riesgos de la Plataforma ALMA aplica la metodología de la Matriz de Probabilidad e Impacto del Project Management Institute (PMI/PMBOK 7ª Ed.), complementada con los principios de gestión de riesgos de bioseguridad del Convenio de Cartagena y los estándares ESG de inversión responsable. Los riesgos se organizan en cinco categorías: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100"/>
        <w:gridCol w:w="1000"/>
        <w:gridCol w:w="4760"/>
      </w:tblGrid>
      <w:tr>
        <w:trPr>
          <w:tblHeader/>
        </w:trPr>
        <w:tc>
          <w:tcPr>
            <w:tcW w:type="dxa" w:w="1300"/>
            <w:tcBorders>
              <w:top w:val="single" w:color="DC2626" w:sz="4"/>
              <w:left w:val="single" w:color="DC2626" w:sz="4"/>
              <w:bottom w:val="single" w:color="DC2626" w:sz="4"/>
              <w:right w:val="single" w:color="DC2626"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Categoría</w:t>
            </w:r>
          </w:p>
        </w:tc>
        <w:tc>
          <w:tcPr>
            <w:tcW w:type="dxa" w:w="2100"/>
            <w:tcBorders>
              <w:top w:val="single" w:color="DC2626" w:sz="4"/>
              <w:left w:val="single" w:color="DC2626" w:sz="4"/>
              <w:bottom w:val="single" w:color="DC2626" w:sz="4"/>
              <w:right w:val="single" w:color="DC2626"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Riesgo Principal</w:t>
            </w:r>
          </w:p>
        </w:tc>
        <w:tc>
          <w:tcPr>
            <w:tcW w:type="dxa" w:w="1100"/>
            <w:tcBorders>
              <w:top w:val="single" w:color="DC2626" w:sz="4"/>
              <w:left w:val="single" w:color="DC2626" w:sz="4"/>
              <w:bottom w:val="single" w:color="DC2626" w:sz="4"/>
              <w:right w:val="single" w:color="DC2626"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Probabilidad</w:t>
            </w:r>
          </w:p>
        </w:tc>
        <w:tc>
          <w:tcPr>
            <w:tcW w:type="dxa" w:w="1000"/>
            <w:tcBorders>
              <w:top w:val="single" w:color="DC2626" w:sz="4"/>
              <w:left w:val="single" w:color="DC2626" w:sz="4"/>
              <w:bottom w:val="single" w:color="DC2626" w:sz="4"/>
              <w:right w:val="single" w:color="DC2626"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Impacto</w:t>
            </w:r>
          </w:p>
        </w:tc>
        <w:tc>
          <w:tcPr>
            <w:tcW w:type="dxa" w:w="4760"/>
            <w:tcBorders>
              <w:top w:val="single" w:color="DC2626" w:sz="4"/>
              <w:left w:val="single" w:color="DC2626" w:sz="4"/>
              <w:bottom w:val="single" w:color="DC2626" w:sz="4"/>
              <w:right w:val="single" w:color="DC2626" w:sz="4"/>
            </w:tcBorders>
            <w:shd w:fill="DC262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Estrategia de Mitigación ALMA</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Técnico/Científico</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Deriva de modelos Neuralzoo bajo cambio climático acelerado</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Detección ADWIN/Page-Hinkley continua; reentrenamiento incremental automático; comité científico UAI de validación mensual</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Falla equipos MinION/WSN/drones en campo rural</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Contratos mantenimiento OEM; técnicos locales certificados; repuestos críticos en cada UAI; redundancia nodos LoRaWAN</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Técnico</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Variabilidad eficacia bioinsumos según microbioma local</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Media-Alta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Medio</w:t>
            </w:r>
          </w:p>
        </w:tc>
        <w:tc>
          <w:tcPr>
            <w:tcW w:type="dxa" w:w="4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MinION adapta bioinsumos a microbioma nativo; ensayos UAI antes de escalar UAP; múltiples formulaciones banco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Social</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Rechazo comunitario a tecnologías (gasotransmisores, edición genómica)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Baja-Media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Consulta previa vinculante CPLI Convenio 169; comités técnico-éticos con participación comunitaria; transparencia datos</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Social</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Conflictos por asignación UAF en zonas post-conflicto Cauca</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Criterios objetivos y transparentes; Consejos Territoriales con facultad resolución; acompañamiento legal UARIV-ARN</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Regulatorio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Restricciones ICA/MinAmbiente gasotransmisores o secuenciación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Baja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Cumplimiento estricto; protocolos ALMA más exigentes que los normativos; agenda regulatoria proactiva con MinCiencias</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Ambiental</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Impactos no previstos en ecosistemas de nuevas tecnologías</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Muy baja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EIA antes de cada escalamiento; monitoreo continuo SIG+WSN+MinION; comité técnico con poder de suspensión inmediata</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Financiero</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Caída -20% simultánea precios aceites 3 cultivos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Baja-Media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Diversificación 3 cultivos + 3 nuevos flujos (carbono, bioenergía, ZF); análisis sensibilidad confirma VPN+ a -20%</w:t>
            </w:r>
          </w:p>
        </w:tc>
      </w:tr>
      <w:tr>
        <w:tc>
          <w:tcPr>
            <w:tcW w:type="dxa" w:w="1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Financiero</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Retraso desembolsos FINAGRO/cooperación internacional</w:t>
            </w:r>
          </w:p>
        </w:tc>
        <w:tc>
          <w:tcPr>
            <w:tcW w:type="dxa" w:w="1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Media-Alta</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Alto</w:t>
            </w:r>
          </w:p>
        </w:tc>
        <w:tc>
          <w:tcPr>
            <w:tcW w:type="dxa" w:w="47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 fuentes blended finance diversificadas; capital puente inversionistas privados; reserva 12 meses OPEX operativo</w:t>
            </w:r>
          </w:p>
        </w:tc>
      </w:tr>
      <w:tr>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Seguridad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Grupos armados en zonas intervención Cauca norte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Media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Muy alto</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Protocolo GIAS diferenciado por zona; seguro riesgo político (Lloyd's); acuerdos humanitarios locales; pilotos en zonas seguras primero</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13. PRESUPUESTO RESUMIDO Y FUENTES DE FINANCIACIÓN</w:t>
      </w:r>
    </w:p>
    <w:p>
      <w:pPr>
        <w:spacing w:before="100" w:after="80" w:line="276" w:lineRule="auto"/>
        <w:jc w:val="both"/>
      </w:pPr>
      <w:r>
        <w:rPr>
          <w:rFonts w:ascii="Arial" w:cs="Arial" w:eastAsia="Arial" w:hAnsi="Arial"/>
          <w:b w:val="false"/>
          <w:bCs w:val="false"/>
          <w:color w:val="212529"/>
          <w:sz w:val="22"/>
          <w:szCs w:val="22"/>
        </w:rPr>
        <w:t xml:space="preserve">La estructura de financiación de la Plataforma ALMA sigue el paradigma de Blended Finance (finanzas combinadas) que ha demostrado ser el mecanismo más efectivo para escalar proyectos de bioeconomía en América Latina. Combina en capas recursos con diferentes perfiles de riesgo-retorno, donde los recursos más concesionales (donaciones, cooperación) cubren las actividades de mayor riesgo e impacto social, mientras los recursos de mayor costo cubren los módulos industriales con flujos de caja más predecibles.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800"/>
        <w:gridCol w:w="1600"/>
        <w:gridCol w:w="2860"/>
      </w:tblGrid>
      <w:tr>
        <w:trPr>
          <w:tblHeader/>
        </w:trPr>
        <w:tc>
          <w:tcPr>
            <w:tcW w:type="dxa" w:w="25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Fuente de Financiación</w:t>
            </w:r>
          </w:p>
        </w:tc>
        <w:tc>
          <w:tcPr>
            <w:tcW w:type="dxa" w:w="16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Monto estimado (COP MM)</w:t>
            </w:r>
          </w:p>
        </w:tc>
        <w:tc>
          <w:tcPr>
            <w:tcW w:type="dxa" w:w="8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del Total</w:t>
            </w:r>
          </w:p>
        </w:tc>
        <w:tc>
          <w:tcPr>
            <w:tcW w:type="dxa" w:w="160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Instrumento</w:t>
            </w:r>
          </w:p>
        </w:tc>
        <w:tc>
          <w:tcPr>
            <w:tcW w:type="dxa" w:w="2860"/>
            <w:tcBorders>
              <w:top w:val="single" w:color="2D6A4F" w:sz="4"/>
              <w:left w:val="single" w:color="2D6A4F" w:sz="4"/>
              <w:bottom w:val="single" w:color="2D6A4F" w:sz="4"/>
              <w:right w:val="single" w:color="2D6A4F" w:sz="4"/>
            </w:tcBorders>
            <w:shd w:fill="2D6A4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Condiciones clave</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FONDOS PÚBLICOS NACIONALES</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Sistema General de Regalías (OCAD Paz)</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6.5%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Proyecto inversión OCAD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Focalización municipios PDET Cauca y Valle del Cauca</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Agencia Desarrollo Rural (ADR)</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Proyecto extensión rural</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Convenio interinstitucional MinAgricultura + SENA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Fondo Colombia Sostenible (GEF)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Donación biodiversidad-carbono</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Co-ejecución PNUD Colombia; reportes GEF estándar</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COOPERACIÓN INTERNACIONAL</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Unión Europea — FEDS+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Subvención + préstamo concesional</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Condicionalidades ESG; reportes ODS; auditoría UE</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GIZ — Cooperación Alemana</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Cooperación técnica + capital semilla</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BMZ biotecnología tropical; enfoque género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BID Lab — Innovación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3.8%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Capital riesgo + AT gratuita</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Modelo innovador + potencial replicabilidad regional</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Banco Mundial — BioCarbon Fund</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2.8%</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Pago por resultados carbono</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Verificación ex-post créditos VM0017 certificados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CAPITAL PRIVADO DE IMPACTO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Fondos ESG bioeconomía</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180,000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18.0%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Equity + deuda subordinada</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TIR &gt; 15%; impacto medible ESG; salida 10 años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Bonos verdes corporativos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9.5%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Bono verde certificado CBI</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Uso fondos exclusivo activos verdes calificados</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DEUDA BANCA DE DESARROLLO</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FINAGRO — Línea ICR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17.5%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Crédito subsidiado 11.5% EA</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Aval FAG + colateral tierra + garantía personal socios</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Bancoldex — Biocombustibles</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4.5%</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Crédito preferencial</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Certificación ISCC PLUS Jatrofa; plan negocio aprobado</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212529"/>
                <w:sz w:val="20"/>
                <w:szCs w:val="20"/>
              </w:rPr>
              <w:t xml:space="preserve">INGRESOS PROPIOS (AÑOS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Venta productos + carbono + bioenergía</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52,000</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5.2%</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Autofinanciamiento reinvertido</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FCL años 3-5 reinvertidos en expansión fases 3-4</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Equity socios directos (35% CAPEX)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16.0%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Capital propio socios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Primera llamada de capital Q2 2026; segunda Q4 2027</w:t>
            </w:r>
          </w:p>
        </w:tc>
      </w:tr>
      <w:tr>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TOTAL PORTAFOLIO</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1B4332"/>
                <w:sz w:val="20"/>
                <w:szCs w:val="20"/>
              </w:rPr>
              <w:t xml:space="preserve">COP 1,082,000 MM</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bCs/>
                <w:color w:val="212529"/>
                <w:sz w:val="20"/>
                <w:szCs w:val="20"/>
              </w:rPr>
              <w:t xml:space="preserve">100%</w:t>
            </w:r>
          </w:p>
        </w:tc>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Blended Finance</w:t>
            </w:r>
          </w:p>
        </w:tc>
        <w:tc>
          <w:tcPr>
            <w:tcW w:type="dxa" w:w="286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pPr>
              <w:jc w:val="left"/>
            </w:pPr>
            <w:r>
              <w:rPr>
                <w:rFonts w:ascii="Arial" w:cs="Arial" w:eastAsia="Arial" w:hAnsi="Arial"/>
                <w:b w:val="false"/>
                <w:bCs w:val="false"/>
                <w:color w:val="212529"/>
                <w:sz w:val="20"/>
                <w:szCs w:val="20"/>
              </w:rPr>
              <w:t xml:space="preserve">Horizonte inversión principal 2026-2030</w:t>
            </w:r>
          </w:p>
        </w:tc>
      </w:tr>
    </w:tbl>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14. CONCLUSIONES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4"/>
              <w:left w:val="none" w:color="FFFFFF" w:sz="0"/>
              <w:bottom w:val="none" w:color="FFFFFF" w:sz="0"/>
              <w:right w:val="none" w:color="FFFFFF" w:sz="0"/>
            </w:tcBorders>
            <w:shd w:fill="D8F3DC" w:val="clear"/>
            <w:tcMar>
              <w:top w:type="dxa" w:w="160"/>
              <w:left w:type="dxa" w:w="240"/>
              <w:bottom w:type="dxa" w:w="160"/>
              <w:right w:type="dxa" w:w="160"/>
            </w:tcMar>
          </w:tcPr>
          <w:p>
            <w:pPr>
              <w:spacing w:before="0" w:after="0" w:line="276" w:lineRule="auto"/>
              <w:jc w:val="both"/>
            </w:pPr>
            <w:r>
              <w:rPr>
                <w:rFonts w:ascii="Arial" w:cs="Arial" w:eastAsia="Arial" w:hAnsi="Arial"/>
                <w:color w:val="1B4332"/>
                <w:sz w:val="21"/>
                <w:szCs w:val="21"/>
              </w:rPr>
              <w:t xml:space="preserve">«La Plataforma ALMA no es una promesa tecnológica futurista — es una convergencia de tecnologías maduras y probadas globalmente que ALMA integra por primera vez en un sistema coherente de bioeconomía regenerativa con justicia territorial en el suroccidente colombiano. La pregunta no es si es posible técnicamente —lo es. La pregunta es si existe la voluntad política, empresarial y comunitaria para aprovechar la ventana histórica que se abre en 2026.»</w:t>
            </w:r>
          </w:p>
        </w:tc>
      </w:tr>
    </w:tbl>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14.1 Conclusiones Principales</w:t>
      </w:r>
    </w:p>
    <w:p>
      <w:pPr>
        <w:pStyle w:val="Heading3"/>
        <w:spacing w:before="220" w:after="100" w:line="276" w:lineRule="auto"/>
      </w:pPr>
      <w:r>
        <w:rPr>
          <w:rFonts w:ascii="Arial" w:cs="Arial" w:eastAsia="Arial" w:hAnsi="Arial"/>
          <w:b/>
          <w:bCs/>
          <w:color w:val="264653"/>
          <w:sz w:val="25"/>
          <w:szCs w:val="25"/>
        </w:rPr>
        <w:t xml:space="preserve">14.1.1 Viabilidad Científica y Tecnológica Demostrada</w:t>
      </w:r>
    </w:p>
    <w:p>
      <w:pPr>
        <w:spacing w:before="100" w:after="80" w:line="276" w:lineRule="auto"/>
        <w:jc w:val="both"/>
      </w:pPr>
      <w:r>
        <w:rPr>
          <w:rFonts w:ascii="Arial" w:cs="Arial" w:eastAsia="Arial" w:hAnsi="Arial"/>
          <w:b w:val="false"/>
          <w:bCs w:val="false"/>
          <w:color w:val="212529"/>
          <w:sz w:val="22"/>
          <w:szCs w:val="22"/>
        </w:rPr>
        <w:t xml:space="preserve">El portafolio tecnológico de la Plataforma ALMA integra componentes con madurez tecnológica comprobada globalmente: MinION opera en campo en 47 países desde 2015; las redes WSN/LoRaWAN tienen más de 800 despliegues agrícolas documentados a escala mundial; los modelos de ML para predicción de rendimiento y detección de plagas han alcanzado precisión &gt; 85% en más de 20 validaciones de campo en trópicos; y la arquitectura de edge computing para operación sin internet es estándar en industrias remotas (minería, offshore). La innovación de ALMA radica en la integración sistémica de estos componentes bajo un marco de MDP adaptativo con justicia territorial —no en inventar tecnologías nuevas.</w:t>
      </w:r>
    </w:p>
    <w:p>
      <w:pPr>
        <w:pStyle w:val="Heading3"/>
        <w:spacing w:before="220" w:after="100" w:line="276" w:lineRule="auto"/>
      </w:pPr>
      <w:r>
        <w:rPr>
          <w:rFonts w:ascii="Arial" w:cs="Arial" w:eastAsia="Arial" w:hAnsi="Arial"/>
          <w:b/>
          <w:bCs/>
          <w:color w:val="264653"/>
          <w:sz w:val="25"/>
          <w:szCs w:val="25"/>
        </w:rPr>
        <w:t xml:space="preserve">14.1.2 Viabilidad Financiera Sólida — Escenario BASE y ALMA</w:t>
      </w:r>
    </w:p>
    <w:p>
      <w:pPr>
        <w:spacing w:before="100" w:after="80" w:line="276" w:lineRule="auto"/>
        <w:jc w:val="both"/>
      </w:pPr>
      <w:r>
        <w:rPr>
          <w:rFonts w:ascii="Arial" w:cs="Arial" w:eastAsia="Arial" w:hAnsi="Arial"/>
          <w:b w:val="false"/>
          <w:bCs w:val="false"/>
          <w:color w:val="212529"/>
          <w:sz w:val="22"/>
          <w:szCs w:val="22"/>
        </w:rPr>
        <w:t xml:space="preserve">Los modelos financieros confirman la viabilidad del portafolio en ambos escenarios. En el escenario BASE (sin plataforma ALMA): VPN consolidado de COP 566,590 millones, TIR ponderada 23.3%, payback 2032 —ya es un proyecto rentable. En el escenario ALMA: VPN consolidado aproximado de COP 1.15 billones, TIR ponderada 30.7%+, payback 2031 —la tecnología amplifica el valor creado en más del doble. El proyecto es estructuralmente resiliente a variaciones de hasta -20% simultáneas en precios y rendimientos, gracias a la diversificación de cultivos, mercados y tres fuentes de ingreso nuevas (carbono, bioenergía, Zona Franca) independientes del precio del aceite.</w:t>
      </w:r>
    </w:p>
    <w:p>
      <w:pPr>
        <w:pStyle w:val="Heading3"/>
        <w:spacing w:before="220" w:after="100" w:line="276" w:lineRule="auto"/>
      </w:pPr>
      <w:r>
        <w:rPr>
          <w:rFonts w:ascii="Arial" w:cs="Arial" w:eastAsia="Arial" w:hAnsi="Arial"/>
          <w:b/>
          <w:bCs/>
          <w:color w:val="264653"/>
          <w:sz w:val="25"/>
          <w:szCs w:val="25"/>
        </w:rPr>
        <w:t xml:space="preserve">14.1.3 Viabilidad Ambiental Excepcional</w:t>
      </w:r>
    </w:p>
    <w:p>
      <w:pPr>
        <w:spacing w:before="100" w:after="80" w:line="276" w:lineRule="auto"/>
        <w:jc w:val="both"/>
      </w:pPr>
      <w:r>
        <w:rPr>
          <w:rFonts w:ascii="Arial" w:cs="Arial" w:eastAsia="Arial" w:hAnsi="Arial"/>
          <w:b w:val="false"/>
          <w:bCs w:val="false"/>
          <w:color w:val="212529"/>
          <w:sz w:val="22"/>
          <w:szCs w:val="22"/>
        </w:rPr>
        <w:t xml:space="preserve">El proyecto no solo cumple estándares ambientales sino que los supera estructuralmente. La proyección de secuestro y reducción de más de 1.5 millones de tCO₂e anuales en plena operación, la recuperación documentable de suelos degradados (+2% materia orgánica en 10 años), la generación de energía limpia (25 MWp solar + 4,200 MWh biogás/año) y la restauración de corredores biológicos convierten a la Plataforma ALMA en uno de los proyectos agroindustriales con mayor impacto ambiental positivo neto en la historia reciente de Colombia. Los créditos de carbono certificables generan además un flujo de caja de USD 6-15 millones anuales que no está incluido en los indicadores financieros base.</w:t>
      </w:r>
    </w:p>
    <w:p>
      <w:pPr>
        <w:pStyle w:val="Heading3"/>
        <w:spacing w:before="220" w:after="100" w:line="276" w:lineRule="auto"/>
      </w:pPr>
      <w:r>
        <w:rPr>
          <w:rFonts w:ascii="Arial" w:cs="Arial" w:eastAsia="Arial" w:hAnsi="Arial"/>
          <w:b/>
          <w:bCs/>
          <w:color w:val="264653"/>
          <w:sz w:val="25"/>
          <w:szCs w:val="25"/>
        </w:rPr>
        <w:t xml:space="preserve">14.1.4 Oportunidad Histórica de Justicia Territorial</w:t>
      </w:r>
    </w:p>
    <w:p>
      <w:pPr>
        <w:spacing w:before="100" w:after="80" w:line="276" w:lineRule="auto"/>
        <w:jc w:val="both"/>
      </w:pPr>
      <w:r>
        <w:rPr>
          <w:rFonts w:ascii="Arial" w:cs="Arial" w:eastAsia="Arial" w:hAnsi="Arial"/>
          <w:b w:val="false"/>
          <w:bCs w:val="false"/>
          <w:color w:val="212529"/>
          <w:sz w:val="22"/>
          <w:szCs w:val="22"/>
        </w:rPr>
        <w:t xml:space="preserve">La Plataforma ALMA llega en el momento histórico en que confluyen cuatro condiciones favorables sin precedente: el proceso de paz y el PDET abren oportunidades en territorios antes inaccesibles; la agenda climática global genera financiamiento abundante para proyectos de bioeconomía y carbono; el mercado internacional de superalimentos (Sacha Inchi), biocombustibles (Jatrofa) y oleoquímica verde (Higuerilla) está en expansión acelerada; y Colombia tiene las condiciones edafoclimáticas, la biodiversidad y el capital humano para ser líder mundial en estos sectores. No aprovechar esta convergencia de condiciones sería una oportunidad histórica desaprovechada con consecuencias generacionales para el suroccidente colombiano.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14.2 Recomendaciones Estratégicas</w:t>
      </w:r>
    </w:p>
    <w:p>
      <w:pPr>
        <w:spacing w:before="100" w:after="80" w:line="276" w:lineRule="auto"/>
        <w:jc w:val="both"/>
      </w:pPr>
      <w:r>
        <w:rPr>
          <w:rFonts w:ascii="Arial" w:cs="Arial" w:eastAsia="Arial" w:hAnsi="Arial"/>
          <w:b w:val="false"/>
          <w:bCs w:val="false"/>
          <w:color w:val="212529"/>
          <w:sz w:val="22"/>
          <w:szCs w:val="22"/>
        </w:rPr>
        <w:t xml:space="preserve">Sobre la base de las conclusiones anteriores, se formulan las siguientes recomendaciones para los actores clave que pueden hacer posible la implementación de la Plataforma ALMA:</w:t>
      </w:r>
    </w:p>
    <w:p>
      <w:pPr>
        <w:pStyle w:val="ListParagraph"/>
        <w:numPr>
          <w:ilvl w:val="0"/>
          <w:numId w:val="3"/>
        </w:numPr>
        <w:spacing w:before="70" w:after="70" w:line="276" w:lineRule="auto"/>
      </w:pPr>
      <w:r>
        <w:rPr>
          <w:rFonts w:ascii="Arial" w:cs="Arial" w:eastAsia="Arial" w:hAnsi="Arial"/>
          <w:color w:val="212529"/>
          <w:sz w:val="22"/>
          <w:szCs w:val="22"/>
        </w:rPr>
        <w:t xml:space="preserve">Iniciar la gestión de licencias ambientales y la consulta previa con las comunidades étnicas en el primer trimestre de 2026. Estos procesos son el cuello de botella más crítico del cronograma y no pueden acelerarse artificialmente sin comprometer su legitimidad jurídica y social.</w:t>
      </w:r>
    </w:p>
    <w:p>
      <w:pPr>
        <w:pStyle w:val="ListParagraph"/>
        <w:numPr>
          <w:ilvl w:val="0"/>
          <w:numId w:val="3"/>
        </w:numPr>
        <w:spacing w:before="70" w:after="70" w:line="276" w:lineRule="auto"/>
      </w:pPr>
      <w:r>
        <w:rPr>
          <w:rFonts w:ascii="Arial" w:cs="Arial" w:eastAsia="Arial" w:hAnsi="Arial"/>
          <w:color w:val="212529"/>
          <w:sz w:val="22"/>
          <w:szCs w:val="22"/>
        </w:rPr>
        <w:t xml:space="preserve">Establecer la Zona Franca Biotecnológica ALMA como proyecto de interés nacional mediante un CONPES específico, involucrando DNP, MinCiencias, MinAgricultura y MinComercio, para agilizar los trámites del Decreto-Ley 2147 de 2016 y habilitar el régimen fiscal especial.</w:t>
      </w:r>
    </w:p>
    <w:p>
      <w:pPr>
        <w:pStyle w:val="ListParagraph"/>
        <w:numPr>
          <w:ilvl w:val="0"/>
          <w:numId w:val="3"/>
        </w:numPr>
        <w:spacing w:before="70" w:after="70" w:line="276" w:lineRule="auto"/>
      </w:pPr>
      <w:r>
        <w:rPr>
          <w:rFonts w:ascii="Arial" w:cs="Arial" w:eastAsia="Arial" w:hAnsi="Arial"/>
          <w:color w:val="212529"/>
          <w:sz w:val="22"/>
          <w:szCs w:val="22"/>
        </w:rPr>
        <w:t xml:space="preserve">Estructurar la estrategia financiera bajo el modelo de Blended Finance con un coordinador especializado (idealmente IFC o BID) que articule simultáneamente recursos públicos, cooperación internacional y capital privado de impacto bajo una estructura legal sólida.</w:t>
      </w:r>
    </w:p>
    <w:p>
      <w:pPr>
        <w:pStyle w:val="ListParagraph"/>
        <w:numPr>
          <w:ilvl w:val="0"/>
          <w:numId w:val="3"/>
        </w:numPr>
        <w:spacing w:before="70" w:after="70" w:line="276" w:lineRule="auto"/>
      </w:pPr>
      <w:r>
        <w:rPr>
          <w:rFonts w:ascii="Arial" w:cs="Arial" w:eastAsia="Arial" w:hAnsi="Arial"/>
          <w:color w:val="212529"/>
          <w:sz w:val="22"/>
          <w:szCs w:val="22"/>
        </w:rPr>
        <w:t xml:space="preserve">Priorizar la implementación del Nodo Cauca en el primer año, por ser la zona con mayor urgencia socioeconómica, mayor potencial de impacto en reducción del conflicto, y mayor alineación con los recursos OCAD Paz disponibles para municipios PDET.</w:t>
      </w:r>
    </w:p>
    <w:p>
      <w:pPr>
        <w:pStyle w:val="ListParagraph"/>
        <w:numPr>
          <w:ilvl w:val="0"/>
          <w:numId w:val="3"/>
        </w:numPr>
        <w:spacing w:before="70" w:after="70" w:line="276" w:lineRule="auto"/>
      </w:pPr>
      <w:r>
        <w:rPr>
          <w:rFonts w:ascii="Arial" w:cs="Arial" w:eastAsia="Arial" w:hAnsi="Arial"/>
          <w:color w:val="212529"/>
          <w:sz w:val="22"/>
          <w:szCs w:val="22"/>
        </w:rPr>
        <w:t xml:space="preserve">Desarrollar alianzas estratégicas con las universidades regionales desde el año 0 del proyecto, para garantizar investigación científica publicable que valide el modelo, genere visibilidad internacional y atraiga cooperación adicional y mercados premium.</w:t>
      </w:r>
    </w:p>
    <w:p>
      <w:pPr>
        <w:pStyle w:val="ListParagraph"/>
        <w:numPr>
          <w:ilvl w:val="0"/>
          <w:numId w:val="3"/>
        </w:numPr>
        <w:spacing w:before="70" w:after="70" w:line="276" w:lineRule="auto"/>
      </w:pPr>
      <w:r>
        <w:rPr>
          <w:rFonts w:ascii="Arial" w:cs="Arial" w:eastAsia="Arial" w:hAnsi="Arial"/>
          <w:color w:val="212529"/>
          <w:sz w:val="22"/>
          <w:szCs w:val="22"/>
        </w:rPr>
        <w:t xml:space="preserve">Certificar los productos bajo los estándares internacionales de mayor valor (USDA Organic, EU Organic, Rainforest Alliance, Fair Trade, Non-GMO Project, FDA Drug Master File) desde el primer año de producción comercial, dado que la diferenciación de precio en mercados premium es la principal palanca de rentabilidad del portafolio.</w:t>
      </w:r>
    </w:p>
    <w:p>
      <w:r>
        <w:rPr>
          <w:sz w:val="20"/>
          <w:szCs w:val="20"/>
        </w:rPr>
        <w:t xml:space="preserve"/>
      </w:r>
    </w:p>
    <w:p>
      <w:pPr>
        <w:pStyle w:val="Heading2"/>
        <w:spacing w:before="280" w:after="140" w:line="276" w:lineRule="auto"/>
      </w:pPr>
      <w:r>
        <w:rPr>
          <w:rFonts w:ascii="Arial" w:cs="Arial" w:eastAsia="Arial" w:hAnsi="Arial"/>
          <w:b/>
          <w:bCs/>
          <w:color w:val="2D6A4F"/>
          <w:sz w:val="29"/>
          <w:szCs w:val="29"/>
        </w:rPr>
        <w:t xml:space="preserve">14.3 Reflexión Final</w:t>
      </w:r>
    </w:p>
    <w:p>
      <w:pPr>
        <w:spacing w:before="100" w:after="80" w:line="276" w:lineRule="auto"/>
        <w:jc w:val="both"/>
      </w:pPr>
      <w:r>
        <w:rPr>
          <w:rFonts w:ascii="Arial" w:cs="Arial" w:eastAsia="Arial" w:hAnsi="Arial"/>
          <w:b w:val="false"/>
          <w:bCs w:val="false"/>
          <w:color w:val="212529"/>
          <w:sz w:val="22"/>
          <w:szCs w:val="22"/>
        </w:rPr>
        <w:t xml:space="preserve">El suroccidente colombiano ha cargado durante décadas el peso desproporcionado de las fallas del desarrollo nacional: conflicto armado, pobreza estructural, degradación ambiental y exclusión tecnológica. La Plataforma ALMA propone que esa región, con su biodiversidad extraordinaria, su capital humano resiliente y su posición estratégica en el Pacífico colombiano, sea la protagonista de la bioeconomía del siglo XXI en América Latina.</w:t>
      </w:r>
    </w:p>
    <w:p>
      <w:pPr>
        <w:spacing w:before="100" w:after="80" w:line="276" w:lineRule="auto"/>
        <w:jc w:val="both"/>
      </w:pPr>
      <w:r>
        <w:rPr>
          <w:rFonts w:ascii="Arial" w:cs="Arial" w:eastAsia="Arial" w:hAnsi="Arial"/>
          <w:b w:val="false"/>
          <w:bCs w:val="false"/>
          <w:color w:val="212529"/>
          <w:sz w:val="22"/>
          <w:szCs w:val="22"/>
        </w:rPr>
        <w:t xml:space="preserve">La integración de un sistema adaptativo multimodal de inteligencia artificial con justicia territorial, de modelos financieros rigurosos con gobernanza comunitaria, de agricultura regenerativa con exportaciones de alto valor añadido no es una utopía computacional: es una propuesta técnicamente detallada, científicamente fundamentada, financieramente viable y socialmente urgente. Los indicadores hablan por sí solos: 28,500 empleos formales, 30,000 familias con tierra segura y tecnología, COP 1.15 billones de valor creado (ALMA), 1.5 millones de toneladas de CO₂ evitadas anualmente.</w:t>
      </w:r>
    </w:p>
    <w:p>
      <w:pPr>
        <w:spacing w:before="100" w:after="80" w:line="276" w:lineRule="auto"/>
        <w:jc w:val="both"/>
      </w:pPr>
      <w:r>
        <w:rPr>
          <w:rFonts w:ascii="Arial" w:cs="Arial" w:eastAsia="Arial" w:hAnsi="Arial"/>
          <w:b w:val="false"/>
          <w:bCs w:val="false"/>
          <w:color w:val="212529"/>
          <w:sz w:val="22"/>
          <w:szCs w:val="22"/>
        </w:rPr>
        <w:t xml:space="preserve">La Plataforma ALMA no es solo un modelo de desarrollo para el suroccidente colombiano. Es una demostración global de que es posible construir una economía que sea simultáneamente próspera, justa, científicamente rigurosa y compatible con la vida en el planeta. Colombia tiene la oportunidad y la responsabilidad de demostrarlo.</w:t>
      </w:r>
    </w:p>
    <w:p>
      <w:pPr>
        <w:pStyle w:val="Heading1"/>
        <w:pageBreakBefore/>
        <w:pBdr>
          <w:bottom w:val="single" w:color="2D6A4F" w:sz="10" w:space="6"/>
        </w:pBdr>
        <w:spacing w:before="400" w:after="200" w:line="276" w:lineRule="auto"/>
      </w:pPr>
      <w:r>
        <w:rPr>
          <w:rFonts w:ascii="Arial" w:cs="Arial" w:eastAsia="Arial" w:hAnsi="Arial"/>
          <w:b/>
          <w:bCs/>
          <w:color w:val="1B4332"/>
          <w:sz w:val="36"/>
          <w:szCs w:val="36"/>
        </w:rPr>
        <w:t xml:space="preserve">15. REFERENCIAS BIBLIOGRÁFICAS Y FUENTES</w:t>
      </w:r>
    </w:p>
    <w:p>
      <w:pPr>
        <w:spacing w:before="50" w:after="50" w:line="264" w:lineRule="auto"/>
        <w:ind w:left="720" w:hanging="360"/>
      </w:pPr>
      <w:r>
        <w:rPr>
          <w:rFonts w:ascii="Arial" w:cs="Arial" w:eastAsia="Arial" w:hAnsi="Arial"/>
          <w:color w:val="495057"/>
          <w:sz w:val="19"/>
          <w:szCs w:val="19"/>
        </w:rPr>
        <w:t xml:space="preserve">1. Agronet Colombia (2026). Estadísticas del sector agropecuario colombiano 2025-2026. Ministerio de Agricultura y Desarrollo Rural.</w:t>
      </w:r>
    </w:p>
    <w:p>
      <w:pPr>
        <w:spacing w:before="50" w:after="50" w:line="264" w:lineRule="auto"/>
        <w:ind w:left="720" w:hanging="360"/>
      </w:pPr>
      <w:r>
        <w:rPr>
          <w:rFonts w:ascii="Arial" w:cs="Arial" w:eastAsia="Arial" w:hAnsi="Arial"/>
          <w:color w:val="495057"/>
          <w:sz w:val="19"/>
          <w:szCs w:val="19"/>
        </w:rPr>
        <w:t xml:space="preserve">2. Banco de la República de Colombia (2026). Informe de Política Monetaria Q1 2026: TRM, IPC proyectado y tasas de referencia. Bogotá: BanRep.</w:t>
      </w:r>
    </w:p>
    <w:p>
      <w:pPr>
        <w:spacing w:before="50" w:after="50" w:line="264" w:lineRule="auto"/>
        <w:ind w:left="720" w:hanging="360"/>
      </w:pPr>
      <w:r>
        <w:rPr>
          <w:rFonts w:ascii="Arial" w:cs="Arial" w:eastAsia="Arial" w:hAnsi="Arial"/>
          <w:color w:val="495057"/>
          <w:sz w:val="19"/>
          <w:szCs w:val="19"/>
        </w:rPr>
        <w:t xml:space="preserve">3. Bloomberg Commodities Research (2026). Agricultural Oils Outlook 2026-2030: Castor, Sacha Inchi, Jatropha markets. Nueva York: Bloomberg LP.</w:t>
      </w:r>
    </w:p>
    <w:p>
      <w:pPr>
        <w:spacing w:before="50" w:after="50" w:line="264" w:lineRule="auto"/>
        <w:ind w:left="720" w:hanging="360"/>
      </w:pPr>
      <w:r>
        <w:rPr>
          <w:rFonts w:ascii="Arial" w:cs="Arial" w:eastAsia="Arial" w:hAnsi="Arial"/>
          <w:color w:val="495057"/>
          <w:sz w:val="19"/>
          <w:szCs w:val="19"/>
        </w:rPr>
        <w:t xml:space="preserve">4. BloombergNEF (2026). Carbon Price Outlook 2026-2030: Voluntary Carbon Market Monitor Q1 2026. Londres: BNEF.</w:t>
      </w:r>
    </w:p>
    <w:p>
      <w:pPr>
        <w:spacing w:before="50" w:after="50" w:line="264" w:lineRule="auto"/>
        <w:ind w:left="720" w:hanging="360"/>
      </w:pPr>
      <w:r>
        <w:rPr>
          <w:rFonts w:ascii="Arial" w:cs="Arial" w:eastAsia="Arial" w:hAnsi="Arial"/>
          <w:color w:val="495057"/>
          <w:sz w:val="19"/>
          <w:szCs w:val="19"/>
        </w:rPr>
        <w:t xml:space="preserve">5. Chen, X. et al. (2022). "Hydrogen sulfide promotes lateral root development by modulating auxin signaling in rice." Plant Physiology, 189(3), 1432-1448.</w:t>
      </w:r>
    </w:p>
    <w:p>
      <w:pPr>
        <w:spacing w:before="50" w:after="50" w:line="264" w:lineRule="auto"/>
        <w:ind w:left="720" w:hanging="360"/>
      </w:pPr>
      <w:r>
        <w:rPr>
          <w:rFonts w:ascii="Arial" w:cs="Arial" w:eastAsia="Arial" w:hAnsi="Arial"/>
          <w:color w:val="495057"/>
          <w:sz w:val="19"/>
          <w:szCs w:val="19"/>
        </w:rPr>
        <w:t xml:space="preserve">6. DANE (2024). Encuesta Nacional Agropecuaria (ENA) 2023-2024. Bogotá: Departamento Administrativo Nacional de Estadística.</w:t>
      </w:r>
    </w:p>
    <w:p>
      <w:pPr>
        <w:spacing w:before="50" w:after="50" w:line="264" w:lineRule="auto"/>
        <w:ind w:left="720" w:hanging="360"/>
      </w:pPr>
      <w:r>
        <w:rPr>
          <w:rFonts w:ascii="Arial" w:cs="Arial" w:eastAsia="Arial" w:hAnsi="Arial"/>
          <w:color w:val="495057"/>
          <w:sz w:val="19"/>
          <w:szCs w:val="19"/>
        </w:rPr>
        <w:t xml:space="preserve">7. Dawid, C. &amp; Grötzinger, K. (2024). "Field deployment of nanopore sequencing for plant disease diagnostics in tropical agricultural systems." Plant Pathology, 73(4), 891-907.</w:t>
      </w:r>
    </w:p>
    <w:p>
      <w:pPr>
        <w:spacing w:before="50" w:after="50" w:line="264" w:lineRule="auto"/>
        <w:ind w:left="720" w:hanging="360"/>
      </w:pPr>
      <w:r>
        <w:rPr>
          <w:rFonts w:ascii="Arial" w:cs="Arial" w:eastAsia="Arial" w:hAnsi="Arial"/>
          <w:color w:val="495057"/>
          <w:sz w:val="19"/>
          <w:szCs w:val="19"/>
        </w:rPr>
        <w:t xml:space="preserve">8. FAO (2023). The State of Food and Agriculture 2023: Family farmers and the future of food. Rome: Food and Agriculture Organization of the United Nations.</w:t>
      </w:r>
    </w:p>
    <w:p>
      <w:pPr>
        <w:spacing w:before="50" w:after="50" w:line="264" w:lineRule="auto"/>
        <w:ind w:left="720" w:hanging="360"/>
      </w:pPr>
      <w:r>
        <w:rPr>
          <w:rFonts w:ascii="Arial" w:cs="Arial" w:eastAsia="Arial" w:hAnsi="Arial"/>
          <w:color w:val="495057"/>
          <w:sz w:val="19"/>
          <w:szCs w:val="19"/>
        </w:rPr>
        <w:t xml:space="preserve">9. Grand View Research (2025). Global Castor Oil Market Size Report 2025-2030. San Francisco: GVR.</w:t>
      </w:r>
    </w:p>
    <w:p>
      <w:pPr>
        <w:spacing w:before="50" w:after="50" w:line="264" w:lineRule="auto"/>
        <w:ind w:left="720" w:hanging="360"/>
      </w:pPr>
      <w:r>
        <w:rPr>
          <w:rFonts w:ascii="Arial" w:cs="Arial" w:eastAsia="Arial" w:hAnsi="Arial"/>
          <w:color w:val="495057"/>
          <w:sz w:val="19"/>
          <w:szCs w:val="19"/>
        </w:rPr>
        <w:t xml:space="preserve">10. ICBF &amp; UNAL (2024). Composición nutricional y fitoquímica del aceite de Sacha Inchi colombiano: estudio multisitio Cauca-Valle. Bogotá: ICBF.</w:t>
      </w:r>
    </w:p>
    <w:p>
      <w:pPr>
        <w:spacing w:before="50" w:after="50" w:line="264" w:lineRule="auto"/>
        <w:ind w:left="720" w:hanging="360"/>
      </w:pPr>
      <w:r>
        <w:rPr>
          <w:rFonts w:ascii="Arial" w:cs="Arial" w:eastAsia="Arial" w:hAnsi="Arial"/>
          <w:color w:val="495057"/>
          <w:sz w:val="19"/>
          <w:szCs w:val="19"/>
        </w:rPr>
        <w:t xml:space="preserve">11. IDEAM (2025). Tercer Informe Bienal de Actualización de Colombia ante la CMNUCC. Bogotá: IDEAM.</w:t>
      </w:r>
    </w:p>
    <w:p>
      <w:pPr>
        <w:spacing w:before="50" w:after="50" w:line="264" w:lineRule="auto"/>
        <w:ind w:left="720" w:hanging="360"/>
      </w:pPr>
      <w:r>
        <w:rPr>
          <w:rFonts w:ascii="Arial" w:cs="Arial" w:eastAsia="Arial" w:hAnsi="Arial"/>
          <w:color w:val="495057"/>
          <w:sz w:val="19"/>
          <w:szCs w:val="19"/>
        </w:rPr>
        <w:t xml:space="preserve">12. IGAC (2024). Estudio general de suelos y zonificación de tierras del suroccidente colombiano: Cauca, Valle del Cauca y Eje Cafetero. Bogotá: IGAC.</w:t>
      </w:r>
    </w:p>
    <w:p>
      <w:pPr>
        <w:spacing w:before="50" w:after="50" w:line="264" w:lineRule="auto"/>
        <w:ind w:left="720" w:hanging="360"/>
      </w:pPr>
      <w:r>
        <w:rPr>
          <w:rFonts w:ascii="Arial" w:cs="Arial" w:eastAsia="Arial" w:hAnsi="Arial"/>
          <w:color w:val="495057"/>
          <w:sz w:val="19"/>
          <w:szCs w:val="19"/>
        </w:rPr>
        <w:t xml:space="preserve">13. INDEPAZ (2025). Informe de presencia de grupos armados en Colombia: primer semestre 2025. Bogotá: INDEPAZ.</w:t>
      </w:r>
    </w:p>
    <w:p>
      <w:pPr>
        <w:spacing w:before="50" w:after="50" w:line="264" w:lineRule="auto"/>
        <w:ind w:left="720" w:hanging="360"/>
      </w:pPr>
      <w:r>
        <w:rPr>
          <w:rFonts w:ascii="Arial" w:cs="Arial" w:eastAsia="Arial" w:hAnsi="Arial"/>
          <w:color w:val="495057"/>
          <w:sz w:val="19"/>
          <w:szCs w:val="19"/>
        </w:rPr>
        <w:t xml:space="preserve">14. IATA (2025). SAF (Sustainable Aviation Fuel) Technology Roadmap 2025-2050: CORSIA Phase 2. Montreal: International Air Transport Association.</w:t>
      </w:r>
    </w:p>
    <w:p>
      <w:pPr>
        <w:spacing w:before="50" w:after="50" w:line="264" w:lineRule="auto"/>
        <w:ind w:left="720" w:hanging="360"/>
      </w:pPr>
      <w:r>
        <w:rPr>
          <w:rFonts w:ascii="Arial" w:cs="Arial" w:eastAsia="Arial" w:hAnsi="Arial"/>
          <w:color w:val="495057"/>
          <w:sz w:val="19"/>
          <w:szCs w:val="19"/>
        </w:rPr>
        <w:t xml:space="preserve">15. IRENA (2023). Biogas for Power Generation 2023: Global Status and Outlook. Abu Dhabi: IRENA.</w:t>
      </w:r>
    </w:p>
    <w:p>
      <w:pPr>
        <w:spacing w:before="50" w:after="50" w:line="264" w:lineRule="auto"/>
        <w:ind w:left="720" w:hanging="360"/>
      </w:pPr>
      <w:r>
        <w:rPr>
          <w:rFonts w:ascii="Arial" w:cs="Arial" w:eastAsia="Arial" w:hAnsi="Arial"/>
          <w:color w:val="495057"/>
          <w:sz w:val="19"/>
          <w:szCs w:val="19"/>
        </w:rPr>
        <w:t xml:space="preserve">16. MinAgricultura Colombia (2026). Política de Biocombustibles y Bioeconomía 2026-2030. Bogotá: MinAgricultura.</w:t>
      </w:r>
    </w:p>
    <w:p>
      <w:pPr>
        <w:spacing w:before="50" w:after="50" w:line="264" w:lineRule="auto"/>
        <w:ind w:left="720" w:hanging="360"/>
      </w:pPr>
      <w:r>
        <w:rPr>
          <w:rFonts w:ascii="Arial" w:cs="Arial" w:eastAsia="Arial" w:hAnsi="Arial"/>
          <w:color w:val="495057"/>
          <w:sz w:val="19"/>
          <w:szCs w:val="19"/>
        </w:rPr>
        <w:t xml:space="preserve">17. MinCiencias (2025). Agenda de Investigación en Biotecnología Agrícola para Colombia: 2025-2035. Bogotá: MinCiencias.</w:t>
      </w:r>
    </w:p>
    <w:p>
      <w:pPr>
        <w:spacing w:before="50" w:after="50" w:line="264" w:lineRule="auto"/>
        <w:ind w:left="720" w:hanging="360"/>
      </w:pPr>
      <w:r>
        <w:rPr>
          <w:rFonts w:ascii="Arial" w:cs="Arial" w:eastAsia="Arial" w:hAnsi="Arial"/>
          <w:color w:val="495057"/>
          <w:sz w:val="19"/>
          <w:szCs w:val="19"/>
        </w:rPr>
        <w:t xml:space="preserve">18. Oxford Nanopore Technologies (2025). MinION Field Applications Compendium: 2024 Edition. Oxford: ONT Ltd.</w:t>
      </w:r>
    </w:p>
    <w:p>
      <w:pPr>
        <w:spacing w:before="50" w:after="50" w:line="264" w:lineRule="auto"/>
        <w:ind w:left="720" w:hanging="360"/>
      </w:pPr>
      <w:r>
        <w:rPr>
          <w:rFonts w:ascii="Arial" w:cs="Arial" w:eastAsia="Arial" w:hAnsi="Arial"/>
          <w:color w:val="495057"/>
          <w:sz w:val="19"/>
          <w:szCs w:val="19"/>
        </w:rPr>
        <w:t xml:space="preserve">19. PMI (2021). A Guide to the Project Management Body of Knowledge (PMBOK® Guide). 7th Edition. Pennsylvania: PMI.</w:t>
      </w:r>
    </w:p>
    <w:p>
      <w:pPr>
        <w:spacing w:before="50" w:after="50" w:line="264" w:lineRule="auto"/>
        <w:ind w:left="720" w:hanging="360"/>
      </w:pPr>
      <w:r>
        <w:rPr>
          <w:rFonts w:ascii="Arial" w:cs="Arial" w:eastAsia="Arial" w:hAnsi="Arial"/>
          <w:color w:val="495057"/>
          <w:sz w:val="19"/>
          <w:szCs w:val="19"/>
        </w:rPr>
        <w:t xml:space="preserve">20. Simontacchi, M. et al. (2023). "Nitric oxide priming enhances drought tolerance in Coffea arabica through activation of antioxidant pathways." Journal of Experimental Botany, 74(12), 3891-3908.</w:t>
      </w:r>
    </w:p>
    <w:p>
      <w:pPr>
        <w:spacing w:before="50" w:after="50" w:line="264" w:lineRule="auto"/>
        <w:ind w:left="720" w:hanging="360"/>
      </w:pPr>
      <w:r>
        <w:rPr>
          <w:rFonts w:ascii="Arial" w:cs="Arial" w:eastAsia="Arial" w:hAnsi="Arial"/>
          <w:color w:val="495057"/>
          <w:sz w:val="19"/>
          <w:szCs w:val="19"/>
        </w:rPr>
        <w:t xml:space="preserve">21. UARIV (2025). Registro Único de Víctimas: estadísticas departamentales. Bogotá: UARIV.</w:t>
      </w:r>
    </w:p>
    <w:p>
      <w:pPr>
        <w:spacing w:before="50" w:after="50" w:line="264" w:lineRule="auto"/>
        <w:ind w:left="720" w:hanging="360"/>
      </w:pPr>
      <w:r>
        <w:rPr>
          <w:rFonts w:ascii="Arial" w:cs="Arial" w:eastAsia="Arial" w:hAnsi="Arial"/>
          <w:color w:val="495057"/>
          <w:sz w:val="19"/>
          <w:szCs w:val="19"/>
        </w:rPr>
        <w:t xml:space="preserve">22. UPME (2024). Informe mercado energía Colombia 2024: factor emisión CO₂ red eléctrica nacional. Medellín: UPME.</w:t>
      </w:r>
    </w:p>
    <w:p>
      <w:pPr>
        <w:spacing w:before="50" w:after="50" w:line="264" w:lineRule="auto"/>
        <w:ind w:left="720" w:hanging="360"/>
      </w:pPr>
      <w:r>
        <w:rPr>
          <w:rFonts w:ascii="Arial" w:cs="Arial" w:eastAsia="Arial" w:hAnsi="Arial"/>
          <w:color w:val="495057"/>
          <w:sz w:val="19"/>
          <w:szCs w:val="19"/>
        </w:rPr>
        <w:t xml:space="preserve">23. Verra (2025). VM0017 Adoption of Sustainable Agricultural Land Management, v1.0. Washington D.C.: Verra.</w:t>
      </w:r>
    </w:p>
    <w:p>
      <w:pPr>
        <w:spacing w:before="50" w:after="50" w:line="264" w:lineRule="auto"/>
        <w:ind w:left="720" w:hanging="360"/>
      </w:pPr>
      <w:r>
        <w:rPr>
          <w:rFonts w:ascii="Arial" w:cs="Arial" w:eastAsia="Arial" w:hAnsi="Arial"/>
          <w:color w:val="495057"/>
          <w:sz w:val="19"/>
          <w:szCs w:val="19"/>
        </w:rPr>
        <w:t xml:space="preserve">24. XM Colombia (2025). Factor de emisión de CO₂ de la red eléctrica nacional Colombia 2024. Medellín: XM S.A. ESP.</w:t>
      </w:r>
    </w:p>
    <w:p>
      <w:pPr>
        <w:spacing w:before="50" w:after="50" w:line="264" w:lineRule="auto"/>
        <w:ind w:left="720" w:hanging="360"/>
      </w:pPr>
      <w:r>
        <w:rPr>
          <w:rFonts w:ascii="Arial" w:cs="Arial" w:eastAsia="Arial" w:hAnsi="Arial"/>
          <w:color w:val="495057"/>
          <w:sz w:val="19"/>
          <w:szCs w:val="19"/>
        </w:rPr>
        <w:t xml:space="preserve">25. Zhang, H. et al. (2021). "Hydrogen sulfide stimulates lateral root development and enhances drought stress tolerance in soybean." New Phytologist, 229(3), 1480-1494.</w:t>
      </w:r>
    </w:p>
    <w:sectPr>
      <w:headerReference w:type="default" r:id="rId6"/>
      <w:footerReference w:type="default" r:id="rId7"/>
      <w:pgSz w:w="12240" w:h="15840"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6" w:space="4"/>
      </w:pBdr>
      <w:jc w:val="center"/>
    </w:pPr>
    <w:r>
      <w:rPr>
        <w:rFonts w:ascii="Arial" w:cs="Arial" w:eastAsia="Arial" w:hAnsi="Arial"/>
        <w:color w:val="495057"/>
        <w:sz w:val="16"/>
        <w:szCs w:val="16"/>
      </w:rPr>
      <w:t xml:space="preserve">Alfredo Márquez Z.  |  Versión 4.0  |  </w:t>
    </w:r>
    <w:r>
      <w:rPr>
        <w:rFonts w:ascii="Arial" w:cs="Arial" w:eastAsia="Arial" w:hAnsi="Arial"/>
        <w:color w:val="495057"/>
        <w:sz w:val="16"/>
        <w:szCs w:val="16"/>
      </w:rPr>
      <w:t xml:space="preserve">Página </w:t>
    </w:r>
    <w:r>
      <w:rPr>
        <w:rFonts w:ascii="Arial" w:cs="Arial" w:eastAsia="Arial" w:hAnsi="Arial"/>
        <w:color w:val="1B4332"/>
        <w:sz w:val="16"/>
        <w:szCs w:val="16"/>
      </w:rPr>
      <w:t xml:space="preserve">PAGE</w:t>
    </w:r>
    <w:r>
      <w:rPr>
        <w:rFonts w:ascii="Arial" w:cs="Arial" w:eastAsia="Arial" w:hAnsi="Arial"/>
        <w:color w:val="495057"/>
        <w:sz w:val="16"/>
        <w:szCs w:val="16"/>
      </w:rPr>
      <w:t xml:space="preserve">  |  Confidencial — Uso institucional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4"/>
      </w:pBdr>
      <w:jc w:val="right"/>
    </w:pPr>
    <w:r>
      <w:rPr>
        <w:rFonts w:ascii="Arial" w:cs="Arial" w:eastAsia="Arial" w:hAnsi="Arial"/>
        <w:color w:val="495057"/>
        <w:sz w:val="16"/>
        <w:szCs w:val="16"/>
      </w:rPr>
      <w:t xml:space="preserve">PLATAFORMA ALMA — Inteligencia Multimodal Adaptativa para Agricultura Regenerativa Tropical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6A4F"/>
      <w:sz w:val="29"/>
      <w:szCs w:val="29"/>
    </w:rPr>
  </w:style>
  <w:style w:type="paragraph" w:styleId="Heading3">
    <w:name w:val="Heading 3"/>
    <w:basedOn w:val="Normal"/>
    <w:next w:val="Normal"/>
    <w:qFormat/>
    <w:pPr>
      <w:spacing w:before="220" w:after="100"/>
      <w:outlineLvl w:val="2"/>
    </w:pPr>
    <w:rPr>
      <w:rFonts w:ascii="Arial" w:cs="Arial" w:eastAsia="Arial" w:hAnsi="Arial"/>
      <w:b/>
      <w:bCs/>
      <w:color w:val="264653"/>
      <w:sz w:val="25"/>
      <w:szCs w:val="25"/>
    </w:rPr>
  </w:style>
  <w:style w:type="paragraph" w:styleId="Heading4">
    <w:name w:val="Heading 4"/>
    <w:basedOn w:val="Normal"/>
    <w:next w:val="Normal"/>
    <w:qFormat/>
    <w:pPr>
      <w:spacing w:before="180" w:after="80"/>
      <w:outlineLvl w:val="3"/>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cc36a0f5af1fb322013e069eb3244a4fe540a8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2026-04-06T06:48:13.908Z</dcterms:created>
  <dcterms:modified xsi:type="dcterms:W3CDTF">2026-04-06T06:48:13.909Z</dcterms:modified>
</cp:coreProperties>
</file>

<file path=docProps/custom.xml><?xml version="1.0" encoding="utf-8"?>
<Properties xmlns="http://schemas.openxmlformats.org/officeDocument/2006/custom-properties" xmlns:vt="http://schemas.openxmlformats.org/officeDocument/2006/docPropsVTypes"/>
</file>