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Résumé PIR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HC-SR501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tension d’alimentation est d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à 12V (possiblement 20V). </w:t>
      </w:r>
      <w:r w:rsidDel="00000000" w:rsidR="00000000" w:rsidRPr="00000000">
        <w:rPr>
          <w:b w:val="1"/>
          <w:sz w:val="24"/>
          <w:szCs w:val="24"/>
          <w:rtl w:val="0"/>
        </w:rPr>
        <w:t xml:space="preserve">On utilise 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tension de communication est </w:t>
      </w:r>
      <w:r w:rsidDel="00000000" w:rsidR="00000000" w:rsidRPr="00000000">
        <w:rPr>
          <w:sz w:val="24"/>
          <w:szCs w:val="24"/>
          <w:rtl w:val="0"/>
        </w:rPr>
        <w:t xml:space="preserve">3.3V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érifi</w:t>
      </w:r>
      <w:r w:rsidDel="00000000" w:rsidR="00000000" w:rsidRPr="00000000">
        <w:rPr>
          <w:sz w:val="24"/>
          <w:szCs w:val="24"/>
          <w:rtl w:val="0"/>
        </w:rPr>
        <w:t xml:space="preserve">ée par oscilloscope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+ Circuit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614363</wp:posOffset>
            </wp:positionH>
            <wp:positionV relativeFrom="paragraph">
              <wp:posOffset>228600</wp:posOffset>
            </wp:positionV>
            <wp:extent cx="5529263" cy="262911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629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général « Capteur-PIR.ino » (fonctions principales + boucles de test)</w:t>
      </w:r>
    </w:p>
    <w:p w:rsidR="00000000" w:rsidDel="00000000" w:rsidP="00000000" w:rsidRDefault="00000000" w:rsidRPr="00000000" w14:paraId="00000010">
      <w:pPr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de temps d'exécution « Capteur-PIR-temps-exec.ino » (programme de temps d'exécution)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Il est possible de modifier la distance de détection et le temps à l’état haut du trigger.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Pins </w:t>
      </w:r>
    </w:p>
    <w:tbl>
      <w:tblPr>
        <w:tblStyle w:val="Table1"/>
        <w:tblW w:w="100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6"/>
        <w:gridCol w:w="5020"/>
        <w:tblGridChange w:id="0">
          <w:tblGrid>
            <w:gridCol w:w="5076"/>
            <w:gridCol w:w="5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+5V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H/L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(ESP32)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Librairies à utiliser</w:t>
      </w:r>
    </w:p>
    <w:tbl>
      <w:tblPr>
        <w:tblStyle w:val="Table2"/>
        <w:tblW w:w="1845.0" w:type="dxa"/>
        <w:jc w:val="left"/>
        <w:tblInd w:w="44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tblGridChange w:id="0">
          <w:tblGrid>
            <w:gridCol w:w="1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Aucune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Initialisation des paramètres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70ad47"/>
          <w:sz w:val="24"/>
          <w:szCs w:val="24"/>
        </w:rPr>
      </w:pP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#define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PIR </w:t>
      </w:r>
      <w:r w:rsidDel="00000000" w:rsidR="00000000" w:rsidRPr="00000000">
        <w:rPr>
          <w:b w:val="1"/>
          <w:sz w:val="24"/>
          <w:szCs w:val="24"/>
          <w:rtl w:val="0"/>
        </w:rPr>
        <w:t xml:space="preserve">35</w:t>
      </w:r>
      <w:r w:rsidDel="00000000" w:rsidR="00000000" w:rsidRPr="00000000">
        <w:rPr>
          <w:b w:val="1"/>
          <w:color w:val="5b9bd5"/>
          <w:sz w:val="24"/>
          <w:szCs w:val="24"/>
          <w:rtl w:val="0"/>
        </w:rPr>
        <w:br w:type="textWrapping"/>
        <w:br w:type="textWrapping"/>
        <w:t xml:space="preserve">bool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sig_PIR =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b9bd5"/>
          <w:sz w:val="24"/>
          <w:szCs w:val="24"/>
          <w:rtl w:val="0"/>
        </w:rPr>
        <w:t xml:space="preserve">LOW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//Signal de détection de mouvement (format booléen)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Initialisation LED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#define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led_verte 32</w:t>
      </w:r>
    </w:p>
    <w:p w:rsidR="00000000" w:rsidDel="00000000" w:rsidP="00000000" w:rsidRDefault="00000000" w:rsidRPr="00000000" w14:paraId="00000022">
      <w:pPr>
        <w:ind w:left="36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Fonctions à utiliser</w:t>
      </w:r>
    </w:p>
    <w:tbl>
      <w:tblPr>
        <w:tblStyle w:val="Table3"/>
        <w:tblW w:w="100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4"/>
        <w:gridCol w:w="3460"/>
        <w:gridCol w:w="2310"/>
        <w:gridCol w:w="1902"/>
        <w:tblGridChange w:id="0">
          <w:tblGrid>
            <w:gridCol w:w="2424"/>
            <w:gridCol w:w="3460"/>
            <w:gridCol w:w="2310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 fonction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Rôle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Pire temps d’exécution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Meilleur temps d’exécution</w:t>
            </w:r>
          </w:p>
        </w:tc>
      </w:tr>
      <w:tr>
        <w:trPr>
          <w:cantSplit w:val="0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void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PIR_Setup()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du capteur PIR 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0,00 ms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0,00 ms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rtl w:val="0"/>
              </w:rPr>
              <w:t xml:space="preserve">bool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PIR_Measure()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Relevé ponctuel d’un mouvement en cours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21,00 ms</w:t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20,00 ms</w:t>
            </w:r>
          </w:p>
        </w:tc>
      </w:tr>
    </w:tbl>
    <w:p w:rsidR="00000000" w:rsidDel="00000000" w:rsidP="00000000" w:rsidRDefault="00000000" w:rsidRPr="00000000" w14:paraId="0000002F">
      <w:pPr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360" w:firstLine="0"/>
        <w:jc w:val="center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ed7d31"/>
          <w:sz w:val="24"/>
          <w:szCs w:val="24"/>
          <w:rtl w:val="0"/>
        </w:rPr>
        <w:t xml:space="preserve">Fonction Setup 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70ad47"/>
          <w:sz w:val="24"/>
          <w:szCs w:val="24"/>
          <w:rtl w:val="0"/>
        </w:rPr>
        <w:t xml:space="preserve">Fonction à utiliser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Fonction interne/peu probable à utiliser</w:t>
      </w:r>
    </w:p>
    <w:p w:rsidR="00000000" w:rsidDel="00000000" w:rsidP="00000000" w:rsidRDefault="00000000" w:rsidRPr="00000000" w14:paraId="00000031">
      <w:pPr>
        <w:ind w:left="3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5820D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5820D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aragraphedeliste">
    <w:name w:val="List Paragraph"/>
    <w:basedOn w:val="Normal"/>
    <w:uiPriority w:val="34"/>
    <w:qFormat w:val="1"/>
    <w:rsid w:val="005820D1"/>
    <w:pPr>
      <w:ind w:left="720"/>
      <w:contextualSpacing w:val="1"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-c1" w:customStyle="1">
    <w:name w:val="pl-c1"/>
    <w:basedOn w:val="Policepardfaut"/>
    <w:rsid w:val="000553D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Bwjr8UzMBzGoyKvlGr3QX0TVPA==">AMUW2mXzxyowHNLArP0DHAK2uICxFnkXVgwLFFr/MFThpBHvMtt0H9+h5mDKuyGu0QvrIskwRMR0Gl7I484hPlZN+Q4R1FlFlW8E/8kkhnSIeCrkN8zOwY0=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2022-02-08T22:10:00Z</dcterms:created>
  <dc:creator>Devast 843</dc:creator>
</cp:coreProperties>
</file>