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0"/>
      </w:pPr>
      <w:r>
        <w:t>EXCELENTÍSSIMO(A) SENHOR(A) DOUTOR(A) JUIZ(A) FEDERAL DA ___ VARA FEDERAL DA SEÇÃO JUDICIÁRIA DO DISTRITO FEDERAL</w:t>
      </w:r>
    </w:p>
    <w:p/>
    <w:p>
      <w:pPr>
        <w:spacing w:after="0"/>
      </w:pPr>
      <w:r>
        <w:t>JOÃO DA SILVA, brasileiro, nascido em 15/03/1978, portador do CPF nº 000.000.000-00, residente e domiciliado na QNM 28 Conjunto C, Casa 15, Taguatinga Norte, por intermédio de seu advogado que ao final subscreve, vem, respeitosamente, à presença de Vossa Excelência, com fundamento nos artigos 86 e seguintes da Lei nº 8.213/91 e demais disposições aplicáveis, propor a presente</w:t>
      </w:r>
    </w:p>
    <w:p/>
    <w:p>
      <w:pPr>
        <w:spacing w:after="0"/>
      </w:pPr>
      <w:r>
        <w:t>AÇÃO DE CONCESSÃO DE AUXÍLIO-ACIDENTE</w:t>
      </w:r>
    </w:p>
    <w:p/>
    <w:p>
      <w:pPr>
        <w:spacing w:after="0"/>
      </w:pPr>
      <w:r>
        <w:t>em face do INSTITUTO NACIONAL DO SEGURO SOCIAL – INSS, autarquia federal, pelos fatos e fundamentos jurídicos a seguir expostos.</w:t>
      </w:r>
    </w:p>
    <w:p/>
    <w:p>
      <w:pPr>
        <w:spacing w:after="0"/>
      </w:pPr>
      <w:r>
        <w:t>I – DO PEDIDO DE GRATUIDADE DA JUSTIÇA</w:t>
      </w:r>
    </w:p>
    <w:p/>
    <w:p>
      <w:pPr>
        <w:spacing w:after="0"/>
      </w:pPr>
      <w:r>
        <w:t>O Autor não possui condições financeiras de arcar com custas processuais, despesas processuais e honorários advocatícios sem prejuízo de seu próprio sustento e de sua família.</w:t>
      </w:r>
    </w:p>
    <w:p/>
    <w:p>
      <w:pPr>
        <w:spacing w:after="0"/>
      </w:pPr>
      <w:r>
        <w:t>Dessa forma, requer os benefícios da Gratuidade da Justiça, nos termos do artigo 98 do Código de Processo Civil e do artigo 5º, inciso LXXIV, da Constituição Federal, declarando-se hipossuficiente para os fins legais.</w:t>
      </w:r>
    </w:p>
    <w:p/>
    <w:p>
      <w:pPr>
        <w:spacing w:after="0"/>
      </w:pPr>
      <w:r>
        <w:t>II – DOS FATOS</w:t>
      </w:r>
    </w:p>
    <w:p/>
    <w:p>
      <w:pPr>
        <w:spacing w:after="0"/>
      </w:pPr>
      <w:r>
        <w:t>O Autor exerce a profissão de Auxiliar de Pedreiro, atividade eminentemente braçal, que exige esforço físico constante, movimentação de materiais, utilização de ferramentas manuais, sustentação de peso e movimentos repetitivos dos membros superiores.</w:t>
      </w:r>
    </w:p>
    <w:p/>
    <w:p>
      <w:pPr>
        <w:spacing w:after="0"/>
      </w:pPr>
      <w:r>
        <w:t>Em razão de acidente que resultou em fratura da extremidade distal do rádio, classificada sob o CID-10 S52.5, o Autor foi submetido a tratamento médico e permaneceu afastado de suas atividades laborais durante o período de recuperação.</w:t>
      </w:r>
    </w:p>
    <w:p/>
    <w:p>
      <w:pPr>
        <w:spacing w:after="0"/>
      </w:pPr>
      <w:r>
        <w:t>Após a consolidação das lesões, o Autor passou a apresentar sequelas permanentes consistentes em redução da amplitude de movimento do punho direito, limitação de flexão e extensão, bem como diminuição mensurável da força de preensão palmar quando comparada ao membro contralateral.</w:t>
      </w:r>
    </w:p>
    <w:p/>
    <w:p>
      <w:pPr>
        <w:spacing w:after="0"/>
      </w:pPr>
      <w:r>
        <w:t>Em razão dessas limitações, requereu administrativamente a concessão do benefício de auxílio-acidente perante o INSS, vinculado ao benefício nº 6549873212.</w:t>
      </w:r>
    </w:p>
    <w:p/>
    <w:p>
      <w:pPr>
        <w:spacing w:after="0"/>
      </w:pPr>
      <w:r>
        <w:t>Todavia, o pedido foi indeferido sob o fundamento de que a perícia médica administrativa concluiu pela inexistência de sequela funcional definitiva que implicasse redução da capacidade laborativa, nos termos do artigo 86 da Lei nº 8.213/91.</w:t>
      </w:r>
    </w:p>
    <w:p/>
    <w:p>
      <w:pPr>
        <w:spacing w:after="0"/>
      </w:pPr>
      <w:r>
        <w:t>Entretanto, laudo médico elaborado por especialista em Ortopedia e Traumatologia, inscrito no CRM-DF 54.321, concluiu expressamente que o Autor apresenta sequela permanente consolidada, compatível com redução parcial e permanente da capacidade para o exercício de atividades que demandem força manual repetitiva e sustentação de peso, justamente aquelas inerentes à função de auxiliar de pedreiro.</w:t>
      </w:r>
    </w:p>
    <w:p/>
    <w:p>
      <w:pPr>
        <w:spacing w:after="0"/>
      </w:pPr>
      <w:r>
        <w:t>Diante da negativa administrativa indevida, não restou alternativa ao Autor senão recorrer ao Poder Judiciário para ver reconhecido seu direito ao benefício.</w:t>
      </w:r>
    </w:p>
    <w:p/>
    <w:p>
      <w:pPr>
        <w:spacing w:after="0"/>
      </w:pPr>
      <w:r>
        <w:t>III – DA FUNDAMENTAÇÃO JURÍDICA</w:t>
      </w:r>
    </w:p>
    <w:p/>
    <w:p>
      <w:pPr>
        <w:spacing w:after="0"/>
      </w:pPr>
      <w:r>
        <w:t>O auxílio-acidente encontra previsão no artigo 86 da Lei nº 8.213/91:</w:t>
      </w:r>
    </w:p>
    <w:p/>
    <w:p>
      <w:pPr>
        <w:spacing w:after="0"/>
      </w:pPr>
      <w:r>
        <w:t>"Art. 86. O auxílio-acidente será concedido, como indenização, ao segurado quando, após consolidação das lesões decorrentes de acidente de qualquer natureza, resultarem sequelas que impliquem redução da capacidade para o trabalho que habitualmente exercia."</w:t>
      </w:r>
    </w:p>
    <w:p/>
    <w:p>
      <w:pPr>
        <w:spacing w:after="0"/>
      </w:pPr>
      <w:r>
        <w:t>A natureza jurídica do auxílio-acidente é indenizatória, sendo devido quando houver redução parcial e permanente da capacidade laborativa habitual do segurado, ainda que este permaneça apto ao exercício de atividade remunerada.</w:t>
      </w:r>
    </w:p>
    <w:p/>
    <w:p>
      <w:pPr>
        <w:spacing w:after="0"/>
      </w:pPr>
      <w:r>
        <w:t>A jurisprudência consolidada dos Tribunais Superiores firmou entendimento no sentido de que não se exige incapacidade total ou impossibilidade de exercer a profissão, bastando a existência de sequela permanente que reduza a capacidade laboral anteriormente existente.</w:t>
      </w:r>
    </w:p>
    <w:p/>
    <w:p>
      <w:pPr>
        <w:spacing w:after="0"/>
      </w:pPr>
      <w:r>
        <w:t>No caso em tela, a documentação médica demonstra de forma inequívoca que o Autor apresenta limitação funcional permanente do punho direito, com redução da força e da amplitude de movimento, circunstâncias que impactam diretamente o desempenho das atividades típicas de auxiliar de pedreiro.</w:t>
      </w:r>
    </w:p>
    <w:p/>
    <w:p>
      <w:pPr>
        <w:spacing w:after="0"/>
      </w:pPr>
      <w:r>
        <w:t>Portanto, resta configurada a hipótese legal prevista no artigo 86 da Lei nº 8.213/91.</w:t>
      </w:r>
    </w:p>
    <w:p/>
    <w:p>
      <w:pPr>
        <w:spacing w:after="0"/>
      </w:pPr>
      <w:r>
        <w:t>IV – DOS REQUISITOS PARA CONCESSÃO DO AUXÍLIO-ACIDENTE</w:t>
      </w:r>
    </w:p>
    <w:p/>
    <w:p>
      <w:pPr>
        <w:spacing w:after="0"/>
      </w:pPr>
      <w:r>
        <w:t>Os requisitos exigidos para a concessão do benefício encontram-se plenamente preenchidos:</w:t>
      </w:r>
    </w:p>
    <w:p/>
    <w:p>
      <w:pPr>
        <w:spacing w:after="0"/>
      </w:pPr>
      <w:r>
        <w:t>a) Qualidade de segurado: comprovada pelo vínculo previdenciário e pelo requerimento administrativo formulado perante o INSS;</w:t>
      </w:r>
    </w:p>
    <w:p/>
    <w:p>
      <w:pPr>
        <w:spacing w:after="0"/>
      </w:pPr>
      <w:r>
        <w:t>b) Ocorrência de acidente de qualquer natureza: demonstrada pela fratura da extremidade distal do rádio (CID-10 S52.5);</w:t>
      </w:r>
    </w:p>
    <w:p/>
    <w:p>
      <w:pPr>
        <w:spacing w:after="0"/>
      </w:pPr>
      <w:r>
        <w:t>c) Consolidação das lesões: evidenciada pelo encerramento do tratamento e estabilização do quadro clínico;</w:t>
      </w:r>
    </w:p>
    <w:p/>
    <w:p>
      <w:pPr>
        <w:spacing w:after="0"/>
      </w:pPr>
      <w:r>
        <w:t>d) Existência de sequela permanente: constatada pelo laudo médico especializado, que identificou limitação funcional definitiva do punho direito;</w:t>
      </w:r>
    </w:p>
    <w:p/>
    <w:p>
      <w:pPr>
        <w:spacing w:after="0"/>
      </w:pPr>
      <w:r>
        <w:t>e) Redução da capacidade para o trabalho habitual: comprovada pela diminuição da força de preensão palmar e pela limitação dos movimentos necessários às atividades desempenhadas pelo Autor em sua profissão.</w:t>
      </w:r>
    </w:p>
    <w:p/>
    <w:p>
      <w:pPr>
        <w:spacing w:after="0"/>
      </w:pPr>
      <w:r>
        <w:t>Dessa forma, encontram-se preenchidos todos os requisitos legais para a concessão do benefício pleiteado.</w:t>
      </w:r>
    </w:p>
    <w:p/>
    <w:p>
      <w:pPr>
        <w:spacing w:after="0"/>
      </w:pPr>
      <w:r>
        <w:t>V – DA NECESSIDADE DE PRODUÇÃO DE PROVA PERICIAL</w:t>
      </w:r>
    </w:p>
    <w:p/>
    <w:p>
      <w:pPr>
        <w:spacing w:after="0"/>
      </w:pPr>
      <w:r>
        <w:t>Considerando a divergência entre a conclusão da perícia administrativa e o laudo médico particular apresentado, requer seja realizada perícia médica judicial por especialista em Ortopedia e Traumatologia, a fim de avaliar a existência, extensão e repercussão das sequelas sobre a capacidade laborativa do Autor.</w:t>
      </w:r>
    </w:p>
    <w:p/>
    <w:p>
      <w:pPr>
        <w:spacing w:after="0"/>
      </w:pPr>
      <w:r>
        <w:t>VI – DOS PEDIDOS</w:t>
      </w:r>
    </w:p>
    <w:p/>
    <w:p>
      <w:pPr>
        <w:spacing w:after="0"/>
      </w:pPr>
      <w:r>
        <w:t>Diante do exposto, requer:</w:t>
      </w:r>
    </w:p>
    <w:p/>
    <w:p>
      <w:pPr>
        <w:spacing w:after="0"/>
      </w:pPr>
      <w:r>
        <w:t>a) O deferimento dos benefícios da Gratuidade da Justiça;</w:t>
      </w:r>
    </w:p>
    <w:p/>
    <w:p>
      <w:pPr>
        <w:spacing w:after="0"/>
      </w:pPr>
      <w:r>
        <w:t>b) A citação do INSS para, querendo, apresentar contestação, sob pena de revelia;</w:t>
      </w:r>
    </w:p>
    <w:p/>
    <w:p>
      <w:pPr>
        <w:spacing w:after="0"/>
      </w:pPr>
      <w:r>
        <w:t>c) A produção de todos os meios de prova em direito admitidos, especialmente prova pericial médica judicial;</w:t>
      </w:r>
    </w:p>
    <w:p/>
    <w:p>
      <w:pPr>
        <w:spacing w:after="0"/>
      </w:pPr>
      <w:r>
        <w:t>d) O reconhecimento da redução permanente da capacidade laborativa do Autor decorrente das sequelas da fratura da extremidade distal do rádio (CID-10 S52.5);</w:t>
      </w:r>
    </w:p>
    <w:p/>
    <w:p>
      <w:pPr>
        <w:spacing w:after="0"/>
      </w:pPr>
      <w:r>
        <w:t>e) A condenação do INSS à concessão do benefício de auxílio-acidente, nos termos do artigo 86 da Lei nº 8.213/91;</w:t>
      </w:r>
    </w:p>
    <w:p/>
    <w:p>
      <w:pPr>
        <w:spacing w:after="0"/>
      </w:pPr>
      <w:r>
        <w:t>f) O pagamento das parcelas vencidas desde a data de início do benefício, acrescidas de correção monetária e juros legais;</w:t>
      </w:r>
    </w:p>
    <w:p/>
    <w:p>
      <w:pPr>
        <w:spacing w:after="0"/>
      </w:pPr>
      <w:r>
        <w:t>g) A condenação do INSS ao pagamento dos honorários advocatícios, na forma da legislação aplicável;</w:t>
      </w:r>
    </w:p>
    <w:p/>
    <w:p>
      <w:pPr>
        <w:spacing w:after="0"/>
      </w:pPr>
      <w:r>
        <w:t>h) A implantação definitiva do benefício após o trânsito em julgado ou mediante tutela de urgência, caso presentes os requisitos legais.</w:t>
      </w:r>
    </w:p>
    <w:p/>
    <w:p>
      <w:pPr>
        <w:spacing w:after="0"/>
      </w:pPr>
      <w:r>
        <w:t>VII – DO VALOR DA CAUSA</w:t>
      </w:r>
    </w:p>
    <w:p/>
    <w:p>
      <w:pPr>
        <w:spacing w:after="0"/>
      </w:pPr>
      <w:r>
        <w:t>Nos termos do artigo 292 do Código de Processo Civil, atribui-se à presente causa o valor correspondente a 12 (doze) parcelas do benefício pretendido.</w:t>
      </w:r>
    </w:p>
    <w:p/>
    <w:p>
      <w:pPr>
        <w:spacing w:after="0"/>
      </w:pPr>
      <w:r>
        <w:t>Dá-se à causa, para efeitos meramente fiscais, o valor de R$ 18.000,00 (dezoito mil reais).</w:t>
      </w:r>
    </w:p>
    <w:p/>
    <w:p>
      <w:pPr>
        <w:spacing w:after="0"/>
      </w:pPr>
      <w:r>
        <w:t>Nestes termos,</w:t>
      </w:r>
    </w:p>
    <w:p/>
    <w:p>
      <w:pPr>
        <w:spacing w:after="0"/>
      </w:pPr>
      <w:r>
        <w:t>Pede deferimento.</w:t>
      </w:r>
    </w:p>
    <w:p/>
    <w:p>
      <w:pPr>
        <w:spacing w:after="0"/>
      </w:pPr>
      <w:r>
        <w:t>Taguatinga/DF, ___ de __________ de 20___.</w:t>
      </w:r>
    </w:p>
    <w:p/>
    <w:p>
      <w:pPr>
        <w:spacing w:after="0"/>
      </w:pPr>
      <w:r>
        <w:t>---</w:t>
      </w:r>
    </w:p>
    <w:p/>
    <w:p>
      <w:pPr>
        <w:spacing w:after="0"/>
      </w:pPr>
      <w:r>
        <w:t>Advogado</w:t>
      </w:r>
    </w:p>
    <w:p/>
    <w:p>
      <w:pPr>
        <w:spacing w:after="0"/>
      </w:pPr>
      <w:r>
        <w:t>OAB/___ nº ________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aramond" w:eastAsia="Garamond" w:hAnsi="Garamond" w:cs="Garamond"/>
        <w:sz w:val="26"/>
        <w:szCs w:val="26"/>
        <w:lang w:val="pt-BR" w:eastAsia="pt-BR" w:bidi="ar-SA"/>
      </w:rPr>
    </w:rPrDefault>
    <w:pPrDefault>
      <w:pPr>
        <w:widowControl w:val="0"/>
        <w:spacing w:before="260" w:after="260" w:line="324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. Parágrafo"/>
    <w:qFormat/>
    <w:rsid w:val="00054889"/>
    <w:pPr>
      <w:suppressAutoHyphens/>
      <w:spacing w:before="300" w:after="300" w:line="300" w:lineRule="auto"/>
      <w:ind w:firstLine="0"/>
    </w:pPr>
  </w:style>
  <w:style w:type="paragraph" w:styleId="Ttulo1">
    <w:name w:val="heading 1"/>
    <w:aliases w:val="Título Garamond"/>
    <w:basedOn w:val="Normal"/>
    <w:next w:val="Normal"/>
    <w:link w:val="Ttulo1Char"/>
    <w:autoRedefine/>
    <w:uiPriority w:val="9"/>
    <w:qFormat/>
    <w:rsid w:val="00D37ED2"/>
    <w:pPr>
      <w:keepNext/>
      <w:keepLines/>
      <w:widowControl/>
      <w:pBdr>
        <w:bottom w:val="threeDEmboss" w:sz="6" w:space="1" w:color="DACEB8" w:themeColor="accent1"/>
      </w:pBdr>
      <w:tabs>
        <w:tab w:val="left" w:pos="5954"/>
      </w:tabs>
      <w:suppressAutoHyphens w:val="0"/>
      <w:spacing w:before="480" w:after="200" w:line="276" w:lineRule="auto"/>
      <w:outlineLvl w:val="0"/>
    </w:pPr>
    <w:rPr>
      <w:rFonts w:eastAsiaTheme="majorEastAsia" w:cs="Arial"/>
      <w:b/>
      <w:smallCaps/>
      <w:color w:val="015B6B" w:themeColor="text2"/>
      <w:sz w:val="28"/>
      <w:szCs w:val="28"/>
      <w:lang w:eastAsia="en-US"/>
    </w:rPr>
  </w:style>
  <w:style w:type="paragraph" w:styleId="Ttulo2">
    <w:name w:val="heading 2"/>
    <w:aliases w:val="Sub título"/>
    <w:basedOn w:val="Normal"/>
    <w:next w:val="Normal"/>
    <w:link w:val="Ttulo2Char"/>
    <w:autoRedefine/>
    <w:uiPriority w:val="9"/>
    <w:unhideWhenUsed/>
    <w:qFormat/>
    <w:rsid w:val="007C2913"/>
    <w:pPr>
      <w:keepNext/>
      <w:keepLines/>
      <w:widowControl/>
      <w:suppressAutoHyphens w:val="0"/>
      <w:spacing w:before="480" w:after="200" w:line="276" w:lineRule="auto"/>
      <w:outlineLvl w:val="1"/>
    </w:pPr>
    <w:rPr>
      <w:rFonts w:ascii="Segoe UI" w:eastAsiaTheme="majorEastAsia" w:hAnsi="Segoe UI" w:cs="Arial"/>
      <w:i/>
      <w:color w:val="A87C00"/>
      <w:szCs w:val="22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D61CFD"/>
    <w:pPr>
      <w:keepNext/>
      <w:keepLines/>
      <w:outlineLvl w:val="2"/>
    </w:pPr>
    <w:rPr>
      <w:b/>
      <w:smallCaps/>
      <w:sz w:val="30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pPr>
      <w:keepNext/>
      <w:keepLines/>
      <w:spacing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emEspaamento">
    <w:name w:val="No Spacing"/>
    <w:aliases w:val="Citaçãoo,Citação Garamond"/>
    <w:autoRedefine/>
    <w:uiPriority w:val="1"/>
    <w:qFormat/>
    <w:rsid w:val="00C464A2"/>
    <w:pPr>
      <w:pBdr>
        <w:left w:val="threeDEmboss" w:sz="6" w:space="4" w:color="DACEB8" w:themeColor="accent1"/>
      </w:pBdr>
      <w:shd w:val="clear" w:color="auto" w:fill="F7F5F0" w:themeFill="accent1" w:themeFillTint="33"/>
      <w:spacing w:before="360" w:line="288" w:lineRule="auto"/>
      <w:ind w:left="1134" w:firstLine="0"/>
    </w:pPr>
    <w:rPr>
      <w:sz w:val="22"/>
    </w:rPr>
  </w:style>
  <w:style w:type="character" w:customStyle="1" w:styleId="Ttulo1Char">
    <w:name w:val="Título 1 Char"/>
    <w:aliases w:val="Título Garamond Char"/>
    <w:basedOn w:val="Fontepargpadro"/>
    <w:link w:val="Ttulo1"/>
    <w:uiPriority w:val="9"/>
    <w:rsid w:val="00D37ED2"/>
    <w:rPr>
      <w:rFonts w:eastAsiaTheme="majorEastAsia" w:cs="Arial"/>
      <w:b/>
      <w:smallCaps/>
      <w:color w:val="015B6B" w:themeColor="text2"/>
      <w:sz w:val="28"/>
      <w:szCs w:val="28"/>
      <w:lang w:eastAsia="en-US"/>
    </w:rPr>
  </w:style>
  <w:style w:type="character" w:customStyle="1" w:styleId="Ttulo2Char">
    <w:name w:val="Título 2 Char"/>
    <w:aliases w:val="Sub título Char"/>
    <w:basedOn w:val="Fontepargpadro"/>
    <w:link w:val="Ttulo2"/>
    <w:uiPriority w:val="9"/>
    <w:rsid w:val="007C2913"/>
    <w:rPr>
      <w:rFonts w:ascii="Segoe UI" w:eastAsiaTheme="majorEastAsia" w:hAnsi="Segoe UI" w:cs="Arial"/>
      <w:i/>
      <w:color w:val="A87C00"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A41F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1FD3"/>
    <w:rPr>
      <w:rFonts w:ascii="Garamond" w:hAnsi="Garamond"/>
      <w:sz w:val="26"/>
    </w:rPr>
  </w:style>
  <w:style w:type="paragraph" w:styleId="Rodap">
    <w:name w:val="footer"/>
    <w:basedOn w:val="Normal"/>
    <w:link w:val="RodapChar"/>
    <w:uiPriority w:val="99"/>
    <w:unhideWhenUsed/>
    <w:rsid w:val="00A41F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1FD3"/>
    <w:rPr>
      <w:rFonts w:ascii="Garamond" w:hAnsi="Garamond"/>
      <w:sz w:val="26"/>
    </w:rPr>
  </w:style>
  <w:style w:type="paragraph" w:customStyle="1" w:styleId="Standard">
    <w:name w:val="Standard"/>
    <w:rsid w:val="00D5415C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Lohit Hindi"/>
      <w:kern w:val="3"/>
      <w:sz w:val="24"/>
      <w:szCs w:val="24"/>
      <w:lang w:eastAsia="zh-CN" w:bidi="hi-IN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5415C"/>
    <w:pPr>
      <w:widowControl/>
      <w:suppressAutoHyphens w:val="0"/>
      <w:autoSpaceDN w:val="0"/>
      <w:spacing w:before="0" w:after="0" w:line="240" w:lineRule="auto"/>
      <w:textAlignment w:val="baseline"/>
    </w:pPr>
    <w:rPr>
      <w:rFonts w:ascii="Liberation Serif" w:eastAsia="DejaVu Sans" w:hAnsi="Liberation Serif" w:cs="Mangal"/>
      <w:kern w:val="3"/>
      <w:sz w:val="20"/>
      <w:szCs w:val="18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5415C"/>
    <w:rPr>
      <w:rFonts w:ascii="Liberation Serif" w:eastAsia="DejaVu Sans" w:hAnsi="Liberation Serif" w:cs="Mangal"/>
      <w:kern w:val="3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rsid w:val="00D5415C"/>
    <w:rPr>
      <w:vertAlign w:val="superscript"/>
    </w:rPr>
  </w:style>
  <w:style w:type="paragraph" w:styleId="Subttulo">
    <w:name w:val="Subtitle"/>
    <w:basedOn w:val="Normal"/>
    <w:next w:val="Normal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rsid w:val="00B74C81"/>
    <w:pPr>
      <w:ind w:left="720"/>
      <w:contextualSpacing/>
    </w:pPr>
  </w:style>
  <w:style w:type="paragraph" w:customStyle="1" w:styleId="Ementa">
    <w:name w:val="Ementa"/>
    <w:basedOn w:val="Normal"/>
    <w:link w:val="EmentaChar"/>
    <w:autoRedefine/>
    <w:qFormat/>
    <w:rsid w:val="00C464A2"/>
    <w:pPr>
      <w:widowControl/>
      <w:pBdr>
        <w:top w:val="threeDEngrave" w:sz="24" w:space="1" w:color="DACEB8" w:themeColor="accent1" w:shadow="1"/>
        <w:left w:val="threeDEngrave" w:sz="24" w:space="4" w:color="DACEB8" w:themeColor="accent1" w:shadow="1"/>
        <w:bottom w:val="threeDEmboss" w:sz="24" w:space="1" w:color="DACEB8" w:themeColor="accent1" w:shadow="1"/>
        <w:right w:val="threeDEmboss" w:sz="24" w:space="4" w:color="DACEB8" w:themeColor="accent1" w:shadow="1"/>
      </w:pBdr>
      <w:shd w:val="clear" w:color="auto" w:fill="F7F5F0" w:themeFill="accent1" w:themeFillTint="33"/>
      <w:tabs>
        <w:tab w:val="left" w:pos="3892"/>
      </w:tabs>
      <w:suppressAutoHyphens w:val="0"/>
      <w:spacing w:before="240" w:after="240" w:line="276" w:lineRule="auto"/>
      <w:ind w:left="4253"/>
    </w:pPr>
    <w:rPr>
      <w:rFonts w:eastAsiaTheme="minorHAnsi" w:cstheme="minorBidi"/>
      <w:sz w:val="20"/>
      <w:szCs w:val="22"/>
      <w:lang w:eastAsia="en-US"/>
    </w:rPr>
  </w:style>
  <w:style w:type="character" w:customStyle="1" w:styleId="EmentaChar">
    <w:name w:val="Ementa Char"/>
    <w:basedOn w:val="Fontepargpadro"/>
    <w:link w:val="Ementa"/>
    <w:rsid w:val="00C464A2"/>
    <w:rPr>
      <w:rFonts w:asciiTheme="minorHAnsi" w:hAnsiTheme="minorHAnsi"/>
      <w:sz w:val="20"/>
      <w:shd w:val="clear" w:color="auto" w:fill="F7F5F0" w:themeFill="accent1" w:themeFillTint="33"/>
    </w:rPr>
  </w:style>
  <w:style w:type="paragraph" w:customStyle="1" w:styleId="enderecamento">
    <w:name w:val="enderecamento"/>
    <w:basedOn w:val="Normal"/>
    <w:rsid w:val="00FC4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FC4E7A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US"/>
    </w:rPr>
  </w:style>
  <w:style w:type="character" w:customStyle="1" w:styleId="apple-tab-span">
    <w:name w:val="apple-tab-span"/>
    <w:basedOn w:val="Fontepargpadro"/>
    <w:rsid w:val="00FC4E7A"/>
  </w:style>
  <w:style w:type="character" w:styleId="Refdecomentrio">
    <w:name w:val="annotation reference"/>
    <w:basedOn w:val="Fontepargpadro"/>
    <w:uiPriority w:val="99"/>
    <w:semiHidden/>
    <w:unhideWhenUsed/>
    <w:rsid w:val="00C965C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965C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965C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965C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965CA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181980"/>
    <w:rPr>
      <w:color w:val="F26628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1980"/>
    <w:rPr>
      <w:color w:val="605E5C"/>
      <w:shd w:val="clear" w:color="auto" w:fill="E1DFDD"/>
    </w:rPr>
  </w:style>
  <w:style w:type="paragraph" w:customStyle="1" w:styleId="Nomedaao">
    <w:name w:val="Nome da ação"/>
    <w:basedOn w:val="NormalWeb"/>
    <w:link w:val="NomedaaoChar"/>
    <w:autoRedefine/>
    <w:qFormat/>
    <w:rsid w:val="00985D70"/>
    <w:pPr>
      <w:pBdr>
        <w:top w:val="threeDEngrave" w:sz="24" w:space="1" w:color="DACEB8" w:themeColor="accent1" w:shadow="1"/>
        <w:left w:val="threeDEngrave" w:sz="24" w:space="4" w:color="DACEB8" w:themeColor="accent1" w:shadow="1"/>
        <w:bottom w:val="threeDEmboss" w:sz="24" w:space="1" w:color="DACEB8" w:themeColor="accent1" w:shadow="1"/>
        <w:right w:val="threeDEmboss" w:sz="24" w:space="4" w:color="DACEB8" w:themeColor="accent1" w:shadow="1"/>
      </w:pBdr>
      <w:shd w:val="clear" w:color="auto" w:fill="F7F5F0" w:themeFill="accent1" w:themeFillTint="33"/>
      <w:spacing w:before="0" w:beforeAutospacing="0" w:after="480" w:afterAutospacing="0" w:line="276" w:lineRule="auto"/>
      <w:jc w:val="center"/>
    </w:pPr>
    <w:rPr>
      <w:rFonts w:ascii="Segoe UI" w:hAnsi="Segoe UI" w:cs="Calibri"/>
      <w:b/>
      <w:color w:val="000000"/>
      <w:sz w:val="30"/>
      <w:szCs w:val="26"/>
    </w:rPr>
  </w:style>
  <w:style w:type="character" w:customStyle="1" w:styleId="NormalWebChar">
    <w:name w:val="Normal (Web) Char"/>
    <w:basedOn w:val="Fontepargpadro"/>
    <w:link w:val="NormalWeb"/>
    <w:uiPriority w:val="99"/>
    <w:rsid w:val="00181980"/>
    <w:rPr>
      <w:rFonts w:ascii="Times New Roman" w:eastAsia="Times New Roman" w:hAnsi="Times New Roman" w:cs="Times New Roman"/>
      <w:sz w:val="24"/>
      <w:szCs w:val="24"/>
    </w:rPr>
  </w:style>
  <w:style w:type="character" w:customStyle="1" w:styleId="NomedaaoChar">
    <w:name w:val="Nome da ação Char"/>
    <w:basedOn w:val="NormalWebChar"/>
    <w:link w:val="Nomedaao"/>
    <w:rsid w:val="00985D70"/>
    <w:rPr>
      <w:rFonts w:ascii="Segoe UI" w:eastAsia="Times New Roman" w:hAnsi="Segoe UI" w:cs="Calibri"/>
      <w:b/>
      <w:color w:val="000000"/>
      <w:sz w:val="30"/>
      <w:szCs w:val="24"/>
      <w:shd w:val="clear" w:color="auto" w:fill="F7F5F0" w:themeFill="accent1" w:themeFillTint="33"/>
      <w:lang w:eastAsia="en-US"/>
    </w:rPr>
  </w:style>
  <w:style w:type="character" w:styleId="Forte">
    <w:name w:val="Strong"/>
    <w:basedOn w:val="Fontepargpadro"/>
    <w:uiPriority w:val="22"/>
    <w:qFormat/>
    <w:rsid w:val="003B3F00"/>
    <w:rPr>
      <w:b/>
      <w:bCs/>
    </w:rPr>
  </w:style>
  <w:style w:type="character" w:styleId="nfase">
    <w:name w:val="Emphasis"/>
    <w:basedOn w:val="Fontepargpadro"/>
    <w:uiPriority w:val="20"/>
    <w:rsid w:val="00535CDB"/>
    <w:rPr>
      <w:i/>
      <w:iCs/>
    </w:rPr>
  </w:style>
  <w:style w:type="paragraph" w:customStyle="1" w:styleId="dataassinatura">
    <w:name w:val="dataassinatura"/>
    <w:basedOn w:val="Normal"/>
    <w:rsid w:val="0053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citacao">
    <w:name w:val="citacao"/>
    <w:basedOn w:val="Normal"/>
    <w:rsid w:val="00535CDB"/>
    <w:pPr>
      <w:spacing w:after="0" w:line="240" w:lineRule="auto"/>
      <w:ind w:left="2268"/>
    </w:pPr>
    <w:rPr>
      <w:rFonts w:ascii="Calibri, sans-serif" w:eastAsiaTheme="minorEastAsia" w:hAnsi="Calibri, sans-serif" w:cs="Times New Roman"/>
      <w:sz w:val="20"/>
      <w:szCs w:val="20"/>
    </w:rPr>
  </w:style>
  <w:style w:type="character" w:customStyle="1" w:styleId="genericinfo">
    <w:name w:val="generic_info"/>
    <w:basedOn w:val="Fontepargpadro"/>
    <w:rsid w:val="00535CDB"/>
  </w:style>
  <w:style w:type="character" w:customStyle="1" w:styleId="Ttulo3Char">
    <w:name w:val="Título 3 Char"/>
    <w:basedOn w:val="Fontepargpadro"/>
    <w:link w:val="Ttulo3"/>
    <w:uiPriority w:val="9"/>
    <w:rsid w:val="000210D6"/>
    <w:rPr>
      <w:b/>
      <w:smallCaps/>
      <w:sz w:val="30"/>
      <w:szCs w:val="28"/>
    </w:rPr>
  </w:style>
  <w:style w:type="table" w:customStyle="1" w:styleId="Tabelacomgrade1">
    <w:name w:val="Tabela com grade1"/>
    <w:basedOn w:val="Tabelanormal"/>
    <w:next w:val="Tabelacomgrade"/>
    <w:uiPriority w:val="39"/>
    <w:rsid w:val="005E03BE"/>
    <w:pPr>
      <w:widowControl/>
      <w:spacing w:before="0" w:after="0"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5E03BE"/>
    <w:pPr>
      <w:widowControl/>
      <w:spacing w:before="0" w:after="0"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3-nfase1">
    <w:name w:val="Grid Table 3 Accent 1"/>
    <w:basedOn w:val="Tabelanormal"/>
    <w:uiPriority w:val="48"/>
    <w:rsid w:val="00507C3A"/>
    <w:pPr>
      <w:spacing w:after="0" w:line="240" w:lineRule="auto"/>
    </w:pPr>
    <w:tblPr>
      <w:tblStyleRowBandSize w:val="1"/>
      <w:tblStyleColBandSize w:val="1"/>
      <w:tblBorders>
        <w:top w:val="single" w:sz="4" w:space="0" w:color="E8E1D4" w:themeColor="accent1" w:themeTint="99"/>
        <w:left w:val="single" w:sz="4" w:space="0" w:color="E8E1D4" w:themeColor="accent1" w:themeTint="99"/>
        <w:bottom w:val="single" w:sz="4" w:space="0" w:color="E8E1D4" w:themeColor="accent1" w:themeTint="99"/>
        <w:right w:val="single" w:sz="4" w:space="0" w:color="E8E1D4" w:themeColor="accent1" w:themeTint="99"/>
        <w:insideH w:val="single" w:sz="4" w:space="0" w:color="E8E1D4" w:themeColor="accent1" w:themeTint="99"/>
        <w:insideV w:val="single" w:sz="4" w:space="0" w:color="E8E1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5F0" w:themeFill="accent1" w:themeFillTint="33"/>
      </w:tcPr>
    </w:tblStylePr>
    <w:tblStylePr w:type="band1Horz">
      <w:tblPr/>
      <w:tcPr>
        <w:shd w:val="clear" w:color="auto" w:fill="F7F5F0" w:themeFill="accent1" w:themeFillTint="33"/>
      </w:tcPr>
    </w:tblStylePr>
    <w:tblStylePr w:type="neCell">
      <w:tblPr/>
      <w:tcPr>
        <w:tcBorders>
          <w:bottom w:val="single" w:sz="4" w:space="0" w:color="E8E1D4" w:themeColor="accent1" w:themeTint="99"/>
        </w:tcBorders>
      </w:tcPr>
    </w:tblStylePr>
    <w:tblStylePr w:type="nwCell">
      <w:tblPr/>
      <w:tcPr>
        <w:tcBorders>
          <w:bottom w:val="single" w:sz="4" w:space="0" w:color="E8E1D4" w:themeColor="accent1" w:themeTint="99"/>
        </w:tcBorders>
      </w:tcPr>
    </w:tblStylePr>
    <w:tblStylePr w:type="seCell">
      <w:tblPr/>
      <w:tcPr>
        <w:tcBorders>
          <w:top w:val="single" w:sz="4" w:space="0" w:color="E8E1D4" w:themeColor="accent1" w:themeTint="99"/>
        </w:tcBorders>
      </w:tcPr>
    </w:tblStylePr>
    <w:tblStylePr w:type="swCell">
      <w:tblPr/>
      <w:tcPr>
        <w:tcBorders>
          <w:top w:val="single" w:sz="4" w:space="0" w:color="E8E1D4" w:themeColor="accent1" w:themeTint="99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507C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5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ACEB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ACEB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ACEB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ACEB8" w:themeFill="accent1"/>
      </w:tcPr>
    </w:tblStylePr>
    <w:tblStylePr w:type="band1Vert">
      <w:tblPr/>
      <w:tcPr>
        <w:shd w:val="clear" w:color="auto" w:fill="F0EBE2" w:themeFill="accent1" w:themeFillTint="66"/>
      </w:tcPr>
    </w:tblStylePr>
    <w:tblStylePr w:type="band1Horz">
      <w:tblPr/>
      <w:tcPr>
        <w:shd w:val="clear" w:color="auto" w:fill="F0EBE2" w:themeFill="accent1" w:themeFillTint="66"/>
      </w:tcPr>
    </w:tblStylePr>
  </w:style>
  <w:style w:type="table" w:styleId="TabeladeGrade4-nfase1">
    <w:name w:val="Grid Table 4 Accent 1"/>
    <w:basedOn w:val="Tabelanormal"/>
    <w:uiPriority w:val="49"/>
    <w:rsid w:val="00507C3A"/>
    <w:pPr>
      <w:spacing w:after="0" w:line="240" w:lineRule="auto"/>
    </w:pPr>
    <w:tblPr>
      <w:tblStyleRowBandSize w:val="1"/>
      <w:tblStyleColBandSize w:val="1"/>
      <w:tblBorders>
        <w:top w:val="single" w:sz="4" w:space="0" w:color="E8E1D4" w:themeColor="accent1" w:themeTint="99"/>
        <w:left w:val="single" w:sz="4" w:space="0" w:color="E8E1D4" w:themeColor="accent1" w:themeTint="99"/>
        <w:bottom w:val="single" w:sz="4" w:space="0" w:color="E8E1D4" w:themeColor="accent1" w:themeTint="99"/>
        <w:right w:val="single" w:sz="4" w:space="0" w:color="E8E1D4" w:themeColor="accent1" w:themeTint="99"/>
        <w:insideH w:val="single" w:sz="4" w:space="0" w:color="E8E1D4" w:themeColor="accent1" w:themeTint="99"/>
        <w:insideV w:val="single" w:sz="4" w:space="0" w:color="E8E1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ACEB8" w:themeColor="accent1"/>
          <w:left w:val="single" w:sz="4" w:space="0" w:color="DACEB8" w:themeColor="accent1"/>
          <w:bottom w:val="single" w:sz="4" w:space="0" w:color="DACEB8" w:themeColor="accent1"/>
          <w:right w:val="single" w:sz="4" w:space="0" w:color="DACEB8" w:themeColor="accent1"/>
          <w:insideH w:val="nil"/>
          <w:insideV w:val="nil"/>
        </w:tcBorders>
        <w:shd w:val="clear" w:color="auto" w:fill="DACEB8" w:themeFill="accent1"/>
      </w:tcPr>
    </w:tblStylePr>
    <w:tblStylePr w:type="lastRow">
      <w:rPr>
        <w:b/>
        <w:bCs/>
      </w:rPr>
      <w:tblPr/>
      <w:tcPr>
        <w:tcBorders>
          <w:top w:val="double" w:sz="4" w:space="0" w:color="DACE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0" w:themeFill="accent1" w:themeFillTint="33"/>
      </w:tcPr>
    </w:tblStylePr>
    <w:tblStylePr w:type="band1Horz">
      <w:tblPr/>
      <w:tcPr>
        <w:shd w:val="clear" w:color="auto" w:fill="F7F5F0" w:themeFill="accent1" w:themeFillTint="33"/>
      </w:tcPr>
    </w:tblStylePr>
  </w:style>
  <w:style w:type="paragraph" w:customStyle="1" w:styleId="paragraph">
    <w:name w:val="paragraph"/>
    <w:basedOn w:val="Normal"/>
    <w:rsid w:val="00160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textonormal">
    <w:name w:val="textonormal"/>
    <w:basedOn w:val="Normal"/>
    <w:rsid w:val="00160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