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A0D5" w14:textId="1A2B980B" w:rsidR="0005294A" w:rsidRDefault="00000000">
      <w:pPr>
        <w:pStyle w:val="enderecamento"/>
      </w:pPr>
      <w:r>
        <w:t xml:space="preserve">AO JUÍZO DA 3ª VARA DO JUIZADO ESPECIAL FEDERAL CÍVEL DA SEÇÃO JUDICIÁRIA </w:t>
      </w:r>
      <w:r w:rsidR="00985D70">
        <w:t>DO</w:t>
      </w:r>
      <w:r>
        <w:t xml:space="preserve"> ESTADO DE GOIÁS</w:t>
      </w:r>
    </w:p>
    <w:p w14:paraId="364AC12E" w14:textId="5B832C86" w:rsidR="0005294A" w:rsidRDefault="00985D70">
      <w:pPr>
        <w:pStyle w:val="Ementa"/>
      </w:pPr>
      <w:r>
        <w:t xml:space="preserve">Ementa: </w:t>
      </w:r>
      <w:r w:rsidR="00000000">
        <w:t>Auxílio-doença. Lesão por esforço repetitivo bilateral. Atividade habitual em linha de produção de frigorífico. Indeferimento administrativo apesar do diagnóstico reconhecido pelo perito do INSS. Incapacidade demonstrada. Pedido subsidiário de aposentadoria por incapacidade permanente.</w:t>
      </w:r>
    </w:p>
    <w:p w14:paraId="6CE1C538" w14:textId="77777777" w:rsidR="0005294A" w:rsidRDefault="00000000">
      <w:pPr>
        <w:pStyle w:val="textonormal"/>
      </w:pPr>
      <w:r>
        <w:rPr>
          <w:b/>
        </w:rPr>
        <w:t>MARIA JOSÉ DA SILVA</w:t>
      </w:r>
      <w:r>
        <w:t>, brasileira, casada, auxiliar de produção, portadora do RG nº 1.234.567 SSP/GO, inscrita no CPF sob o nº 123.456.789-00, residente e domiciliada na Rua das Acácias, nº 245, Setor Central, Aparecida de Goiânia/GO, CEP 74.910-000, endereço eletrônico: mariajose80@email.com, por intermédio de suas advogadas, vem, respeitosamente, perante Vossa Excelência, propor a presente</w:t>
      </w:r>
    </w:p>
    <w:p w14:paraId="2C57E86F" w14:textId="77777777" w:rsidR="0005294A" w:rsidRPr="00985D70" w:rsidRDefault="00000000" w:rsidP="00985D70">
      <w:pPr>
        <w:pStyle w:val="Nomedaao"/>
      </w:pPr>
      <w:r w:rsidRPr="00985D70">
        <w:t>AÇÃO PREVIDENCIÁRIA DE CONCESSÃO DE AUXÍLIO-DOENÇA</w:t>
      </w:r>
    </w:p>
    <w:p w14:paraId="437CC42A" w14:textId="77777777" w:rsidR="0005294A" w:rsidRDefault="00000000">
      <w:pPr>
        <w:pStyle w:val="textonormal"/>
      </w:pPr>
      <w:r>
        <w:t xml:space="preserve">em desfavor do </w:t>
      </w:r>
      <w:r>
        <w:rPr>
          <w:b/>
        </w:rPr>
        <w:t>INSTITUTO NACIONAL DO SEGURO SOCIAL - INSS</w:t>
      </w:r>
      <w:r>
        <w:t>, autarquia federal, inscrita no CNPJ sob o nº 29.979.036/0001-40, a ser citada na pessoa de seu representante legal, pelos fatos e fundamentos jurídicos a seguir expostos.</w:t>
      </w:r>
    </w:p>
    <w:p w14:paraId="247E50EF" w14:textId="77777777" w:rsidR="0005294A" w:rsidRDefault="00000000">
      <w:pPr>
        <w:pStyle w:val="Ttulo1"/>
      </w:pPr>
      <w:r>
        <w:rPr>
          <w:b w:val="0"/>
        </w:rPr>
        <w:t>1. Preliminarmente</w:t>
      </w:r>
    </w:p>
    <w:p w14:paraId="1CF393DA" w14:textId="77777777" w:rsidR="0005294A" w:rsidRDefault="00000000">
      <w:pPr>
        <w:pStyle w:val="Ttulo2"/>
      </w:pPr>
      <w:r>
        <w:rPr>
          <w:i w:val="0"/>
        </w:rPr>
        <w:t>1.1. Da gratuidade de justiça</w:t>
      </w:r>
    </w:p>
    <w:p w14:paraId="477BE06C" w14:textId="77777777" w:rsidR="0005294A" w:rsidRDefault="00000000">
      <w:pPr>
        <w:pStyle w:val="textonormal"/>
      </w:pPr>
      <w:r>
        <w:t>Esclarece a Autora que é pessoa pobre na acepção jurídica do termo (declaração de hipossuficiência em anexo), não estando em condições de demandar sem sacrifício do sustento próprio e de seus familiares, haja vista que se encontra afastada do trabalho e sem receber o benefício previdenciário que lhe é devido.</w:t>
      </w:r>
    </w:p>
    <w:p w14:paraId="765D5AFC" w14:textId="77777777" w:rsidR="0005294A" w:rsidRDefault="00000000">
      <w:pPr>
        <w:pStyle w:val="textonormal"/>
      </w:pPr>
      <w:r>
        <w:t>Por essa razão, pede que lhe sejam concedidos os benefícios da justiça gratuita, nos termos do art. 5º, LXXIV, da Constituição da República, do art. 1º, caput, da Lei 1.060/50, do art. 1º da Lei 7.115/1983 e dos arts. 98 a 102 do CPC/15.</w:t>
      </w:r>
    </w:p>
    <w:p w14:paraId="767867E2" w14:textId="77777777" w:rsidR="0005294A" w:rsidRDefault="00000000">
      <w:pPr>
        <w:pStyle w:val="Ttulo2"/>
      </w:pPr>
      <w:r>
        <w:rPr>
          <w:i w:val="0"/>
        </w:rPr>
        <w:lastRenderedPageBreak/>
        <w:t>1.2. Da audiência de mediação ou de conciliação</w:t>
      </w:r>
    </w:p>
    <w:p w14:paraId="04365080" w14:textId="77777777" w:rsidR="0005294A" w:rsidRDefault="00000000">
      <w:pPr>
        <w:pStyle w:val="textonormal"/>
      </w:pPr>
      <w:r>
        <w:t>A parte autora vem manifestar, em cumprimento ao art. 319, inciso VII, do CPC/2015, que não tem interesse na realização de audiência de conciliação ou de mediação, podendo o INSS apresentar proposta por escrito nos autos.</w:t>
      </w:r>
    </w:p>
    <w:p w14:paraId="32BAFAAB" w14:textId="77777777" w:rsidR="0005294A" w:rsidRDefault="00000000">
      <w:pPr>
        <w:pStyle w:val="Ttulo2"/>
      </w:pPr>
      <w:r>
        <w:rPr>
          <w:i w:val="0"/>
        </w:rPr>
        <w:t>1.3. Da inexistência de coisa julgada, litispendência e prevenção</w:t>
      </w:r>
    </w:p>
    <w:p w14:paraId="4A2F467D" w14:textId="77777777" w:rsidR="0005294A" w:rsidRDefault="00000000">
      <w:pPr>
        <w:pStyle w:val="textonormal"/>
      </w:pPr>
      <w:r>
        <w:t>A Autora declara, sob as penas da lei, por intermédio de suas procuradoras, que não ajuizou ação anterior com o mesmo objeto aqui discutido.</w:t>
      </w:r>
    </w:p>
    <w:p w14:paraId="12B0177C" w14:textId="77777777" w:rsidR="0005294A" w:rsidRDefault="00000000">
      <w:pPr>
        <w:pStyle w:val="Ttulo1"/>
      </w:pPr>
      <w:r>
        <w:rPr>
          <w:b w:val="0"/>
        </w:rPr>
        <w:t>2. Dos Fatos</w:t>
      </w:r>
    </w:p>
    <w:p w14:paraId="08819D02" w14:textId="77777777" w:rsidR="0005294A" w:rsidRDefault="00000000">
      <w:pPr>
        <w:pStyle w:val="textonormal"/>
      </w:pPr>
      <w:r>
        <w:t>A Autora, hoje com 46 anos de idade, tendo como atividade habitual a função de auxiliar de produção em linha de desossa de frigorífico, apresenta tendinopatia do manguito rotador bilateral associada a síndrome do túnel do carpo bilateral, quadro compatível com lesão por esforço repetitivo (CID-10: M75.1 e G56.0).</w:t>
      </w:r>
    </w:p>
    <w:p w14:paraId="6F71089A" w14:textId="77777777" w:rsidR="0005294A" w:rsidRDefault="00000000">
      <w:pPr>
        <w:pStyle w:val="textonormal"/>
      </w:pPr>
      <w:r>
        <w:t>Esse quadro acarreta dor crônica nos ombros e nas mãos, perda progressiva de força e formigamento constante nos membros superiores, estando a Autora em tratamento desde junho de 2025, sem apresentar melhora.</w:t>
      </w:r>
    </w:p>
    <w:p w14:paraId="5E63E298" w14:textId="77777777" w:rsidR="0005294A" w:rsidRDefault="00000000">
      <w:pPr>
        <w:pStyle w:val="textonormal"/>
      </w:pPr>
      <w:r>
        <w:t>Diante da persistência dos sintomas, a Autora formulou requerimento administrativo em 15/01/2026, sob o NB 698.123.456-7. Submetida a perícia administrativa na mesma data, o benefício foi indeferido sob o fundamento de inexistência de incapacidade laboral, apesar de o próprio laudo pericial reconhecer o diagnóstico apresentado.</w:t>
      </w:r>
    </w:p>
    <w:p w14:paraId="38F8DBBA" w14:textId="77777777" w:rsidR="0005294A" w:rsidRDefault="00000000">
      <w:pPr>
        <w:pStyle w:val="textonormal"/>
      </w:pPr>
      <w:r>
        <w:t>Na função de auxiliar de produção, a Autora atua na linha de desossa, realizando corte de carne com uso de faca, movimentos repetitivos de flexão e extensão do punho e elevação constante dos braços acima da linha do ombro, atividade que, como se demonstrará, restou comprometida pelo quadro de saúde acima descrito.</w:t>
      </w:r>
    </w:p>
    <w:p w14:paraId="3E1247BC" w14:textId="77777777" w:rsidR="0005294A" w:rsidRDefault="00000000">
      <w:pPr>
        <w:pStyle w:val="textonormal"/>
      </w:pPr>
      <w:r>
        <w:t>Diante da negativa indevida da Autarquia Previdenciária e da necessidade de garantir condições mínimas de vida com dignidade, a Autora não vislumbrou alternativa senão recorrer ao Judiciário para ter acesso ao direito ao qual faz jus, conforme será demonstrado.</w:t>
      </w:r>
    </w:p>
    <w:p w14:paraId="5E56D6FB" w14:textId="77777777" w:rsidR="0005294A" w:rsidRDefault="00000000">
      <w:pPr>
        <w:pStyle w:val="Ttulo1"/>
      </w:pPr>
      <w:r>
        <w:rPr>
          <w:b w:val="0"/>
        </w:rPr>
        <w:lastRenderedPageBreak/>
        <w:t>3. Da Fundamentação Jurídica</w:t>
      </w:r>
    </w:p>
    <w:p w14:paraId="4482334D" w14:textId="77777777" w:rsidR="0005294A" w:rsidRDefault="00000000">
      <w:pPr>
        <w:pStyle w:val="Ttulo2"/>
      </w:pPr>
      <w:r>
        <w:rPr>
          <w:i w:val="0"/>
        </w:rPr>
        <w:t>3.1. Dos requisitos legais para os benefícios por incapacidade</w:t>
      </w:r>
    </w:p>
    <w:p w14:paraId="51F6DBD3" w14:textId="77777777" w:rsidR="0005294A" w:rsidRDefault="00000000">
      <w:pPr>
        <w:pStyle w:val="textonormal"/>
      </w:pPr>
      <w:r>
        <w:t>Os benefícios por incapacidade pressupõem a qualidade de segurado, a carência mínima de 12 contribuições mensais e a incapacidade para o trabalho, nos termos dos arts. 25, 42 e 59 da Lei nº 8.213/91 e do art. 201, inciso I, da Constituição Federal.</w:t>
      </w:r>
    </w:p>
    <w:p w14:paraId="065C191A" w14:textId="77777777" w:rsidR="0005294A" w:rsidRDefault="00000000">
      <w:pPr>
        <w:pStyle w:val="textonormal"/>
      </w:pPr>
      <w:r>
        <w:t>No caso concreto, a qualidade de segurado e a carência restam devidamente comprovadas pelo CNIS anexo, requisitos que, inclusive, não foram objeto de impugnação pela própria Autarquia na via administrativa, que limitou sua negativa à suposta inexistência de incapacidade.</w:t>
      </w:r>
    </w:p>
    <w:p w14:paraId="163BC00E" w14:textId="77777777" w:rsidR="0005294A" w:rsidRDefault="00000000">
      <w:pPr>
        <w:pStyle w:val="Ttulo2"/>
      </w:pPr>
      <w:r>
        <w:rPr>
          <w:i w:val="0"/>
        </w:rPr>
        <w:t>3.2. Da incapacidade para a atividade habitual e de sua natureza temporária ou permanente</w:t>
      </w:r>
    </w:p>
    <w:p w14:paraId="0D43A91D" w14:textId="77777777" w:rsidR="0005294A" w:rsidRDefault="00000000">
      <w:pPr>
        <w:pStyle w:val="textonormal"/>
      </w:pPr>
      <w:r>
        <w:t>Na função de auxiliar de produção, a Autora desempenha tarefas que exigem o uso intenso e repetitivo dos membros superiores: corte e desossa de carne com faca, movimentos repetidos de flexão e extensão do punho, força de pinça constante com as mãos e elevação dos braços acima da linha do ombro, em ritmo acelerado imposto pela esteira de produção.</w:t>
      </w:r>
    </w:p>
    <w:p w14:paraId="77BB70B5" w14:textId="77777777" w:rsidR="0005294A" w:rsidRDefault="00000000">
      <w:pPr>
        <w:pStyle w:val="textonormal"/>
      </w:pPr>
      <w:r>
        <w:t>Segundo o relatório médico emitido pelo Dr. Carlos Eduardo Matos, CRM-GO 12345, em 10/01/2026:</w:t>
      </w:r>
    </w:p>
    <w:p w14:paraId="6CDFD247" w14:textId="77777777" w:rsidR="0005294A" w:rsidRDefault="00000000">
      <w:pPr>
        <w:pStyle w:val="citacao"/>
      </w:pPr>
      <w:r>
        <w:t>"Paciente apresenta tendinopatia do manguito rotador bilateral associada a síndrome do túnel do carpo bilateral, com limitação funcional para atividades que exijam elevação dos membros superiores acima da linha do ombro e movimentos repetitivos de flexão e extensão do punho. Quadro compatível com lesão por esforço repetitivo, sem previsão de resolução a curto prazo."</w:t>
      </w:r>
    </w:p>
    <w:p w14:paraId="6192D7D1" w14:textId="77777777" w:rsidR="0005294A" w:rsidRDefault="00000000">
      <w:pPr>
        <w:pStyle w:val="textonormal"/>
      </w:pPr>
      <w:r>
        <w:t>Da correlação entre as tarefas exigidas pela função e as limitações atestadas pela documentação médica, resulta evidente que a Autora não reúne, na atualidade, condições físicas para exercer a atividade de auxiliar de produção em linha de desossa, na medida em que justamente os movimentos exigidos pela função, elevação dos braços e flexão repetida do punho, são aqueles que o quadro clínico impede.</w:t>
      </w:r>
    </w:p>
    <w:p w14:paraId="596E47AA" w14:textId="77777777" w:rsidR="0005294A" w:rsidRDefault="00000000">
      <w:pPr>
        <w:pStyle w:val="textonormal"/>
      </w:pPr>
      <w:r>
        <w:t xml:space="preserve">Quanto à natureza temporária ou permanente da incapacidade, observa-se que a Autora realiza tratamento desde junho de 2025 sem apresentar melhora, o que, </w:t>
      </w:r>
      <w:r>
        <w:lastRenderedPageBreak/>
        <w:t>somado à ausência de previsão de resolução a curto prazo indicada pelo médico assistente, aponta para um quadro que, ao menos por ora, não permite prognóstico seguro de retorno breve à atividade habitual.</w:t>
      </w:r>
    </w:p>
    <w:p w14:paraId="76C01D52" w14:textId="77777777" w:rsidR="0005294A" w:rsidRDefault="00000000">
      <w:pPr>
        <w:pStyle w:val="textonormal"/>
      </w:pPr>
      <w:r>
        <w:t>Ainda que se entenda pela natureza permanente da incapacidade, tal circunstância não afasta o direito da Autora, mas apenas desloca a espécie de benefício devido, sendo cabível, nessa hipótese, a concessão de aposentadoria por incapacidade permanente, nos termos do art. 42 da Lei nº 8.213/91, conforme se passa a demonstrar.</w:t>
      </w:r>
    </w:p>
    <w:p w14:paraId="4331C774" w14:textId="77777777" w:rsidR="0005294A" w:rsidRDefault="00000000">
      <w:pPr>
        <w:pStyle w:val="Ttulo2"/>
      </w:pPr>
      <w:r>
        <w:rPr>
          <w:i w:val="0"/>
        </w:rPr>
        <w:t>3.3. Da fungibilidade entre os benefícios por incapacidade</w:t>
      </w:r>
    </w:p>
    <w:p w14:paraId="67BD7FEF" w14:textId="77777777" w:rsidR="0005294A" w:rsidRDefault="00000000">
      <w:pPr>
        <w:pStyle w:val="textonormal"/>
      </w:pPr>
      <w:r>
        <w:t>Em matéria previdenciária, especialmente nas demandas que envolvem benefícios por incapacidade, deve prevalecer a análise substancial do direito material efetivamente demonstrado nos autos, e não uma compreensão excessivamente formalista acerca da espécie de benefício indicada no requerimento administrativo ou na petição inicial.</w:t>
      </w:r>
    </w:p>
    <w:p w14:paraId="6BE1E902" w14:textId="77777777" w:rsidR="0005294A" w:rsidRDefault="00000000">
      <w:pPr>
        <w:pStyle w:val="textonormal"/>
      </w:pPr>
      <w:r>
        <w:t>Isso porque os benefícios por incapacidade, notadamente o benefício por incapacidade temporária, a aposentadoria por incapacidade permanente, o auxílio-acidente e, quando pertinente ao contexto probatório, até mesmo o benefício assistencial à pessoa com deficiência, possuem uma mesma origem fática central, qual seja, a existência de limitação funcional decorrente de doença, lesão, sequela ou impedimento de longo prazo, com repercussão concreta sobre a capacidade laborativa ou sobre a participação social em igualdade de condições.</w:t>
      </w:r>
    </w:p>
    <w:p w14:paraId="54B4F53A" w14:textId="77777777" w:rsidR="0005294A" w:rsidRDefault="00000000">
      <w:pPr>
        <w:pStyle w:val="textonormal"/>
      </w:pPr>
      <w:r>
        <w:t>Desse modo, ainda que a parte autora tenha formulado administrativamente ou judicialmente pedido nominalmente dirigido a uma determinada espécie de benefício, cabe ao julgador, diante do conjunto probatório produzido, especialmente da prova pericial médica, documental e socioeconômica quando necessária, conceder o benefício que melhor corresponda à realidade fática apurada, desde que preenchidos os respectivos requisitos legais e assegurado o contraditório.</w:t>
      </w:r>
    </w:p>
    <w:p w14:paraId="3D308385" w14:textId="77777777" w:rsidR="0005294A" w:rsidRDefault="00000000">
      <w:pPr>
        <w:pStyle w:val="textonormal"/>
      </w:pPr>
      <w:r>
        <w:t>A fungibilidade, nesse contexto, não representa julgamento fora dos limites da lide, tampouco inovação indevida do pedido. Ao contrário, constitui técnica de efetividade da tutela previdenciária, compatível com a natureza protetiva do Direito Previdenciário e com a necessidade de se evitar que o segurado ou requerente, muitas vezes pessoa hipossuficiente, enferma, sem conhecimento técnico e em situação de vulnerabilidade, seja prejudicado por eventual imprecisão terminológica na indicação do benefício mais adequado ao seu quadro clínico, funcional e social.</w:t>
      </w:r>
    </w:p>
    <w:p w14:paraId="093249CE" w14:textId="77777777" w:rsidR="0005294A" w:rsidRDefault="00000000">
      <w:pPr>
        <w:pStyle w:val="textonormal"/>
      </w:pPr>
      <w:r>
        <w:lastRenderedPageBreak/>
        <w:t>Essa orientação encontra respaldo expresso no Tema 217 da Turma Nacional de Uniformização, cuja tese foi firmada nos seguintes termos:</w:t>
      </w:r>
    </w:p>
    <w:p w14:paraId="6946180F" w14:textId="77777777" w:rsidR="0005294A" w:rsidRDefault="00000000">
      <w:pPr>
        <w:pStyle w:val="citacao"/>
      </w:pPr>
      <w:r>
        <w:t>"Em relação ao benefício assistencial e aos benefícios por incapacidade, é possível conhecer de um deles em juízo, ainda que não seja o especificamente requerido na via administrativa, desde que preenchidos os requisitos legais, observando-se o contraditório e o disposto no artigo 9º e 10 do CPC."</w:t>
      </w:r>
    </w:p>
    <w:p w14:paraId="4115E871" w14:textId="77777777" w:rsidR="0005294A" w:rsidRDefault="00000000">
      <w:pPr>
        <w:pStyle w:val="textonormal"/>
      </w:pPr>
      <w:r>
        <w:t>Portanto, requer-se que o pedido seja interpretado de forma ampla e compatível com a proteção previdenciária efetivamente buscada, autorizando-se a concessão do benefício por incapacidade ou assistencial que se mostrar juridicamente devido diante da prova produzida, ainda que diverso daquele indicado de modo específico no requerimento administrativo ou na formulação inicial, desde que preenchidos os pressupostos legais correspondentes.</w:t>
      </w:r>
    </w:p>
    <w:p w14:paraId="00830D99" w14:textId="77777777" w:rsidR="0005294A" w:rsidRDefault="00000000">
      <w:pPr>
        <w:pStyle w:val="Ttulo1"/>
      </w:pPr>
      <w:r>
        <w:rPr>
          <w:b w:val="0"/>
        </w:rPr>
        <w:t>4. Da Reabilitação Profissional</w:t>
      </w:r>
    </w:p>
    <w:p w14:paraId="3EAD5231" w14:textId="77777777" w:rsidR="0005294A" w:rsidRDefault="00000000">
      <w:pPr>
        <w:pStyle w:val="textonormal"/>
      </w:pPr>
      <w:r>
        <w:t>Nos benefícios por incapacidade, a análise da capacidade laborativa não deve se limitar à existência abstrata de alguma aptidão residual, sendo indispensável verificar se a parte segurada possui condições reais de retorno ao mercado de trabalho, consideradas suas limitações funcionais, idade, escolaridade, histórico profissional, qualificação técnica e possibilidades concretas de readaptação.</w:t>
      </w:r>
    </w:p>
    <w:p w14:paraId="1A36F0B4" w14:textId="77777777" w:rsidR="0005294A" w:rsidRDefault="00000000">
      <w:pPr>
        <w:pStyle w:val="textonormal"/>
      </w:pPr>
      <w:r>
        <w:t>Quando constatada incapacidade para a atividade habitual, mas houver indicação de capacidade residual para outra função, eventual cessação do benefício somente poderá ocorrer após a efetiva reabilitação profissional, sempre que necessária, nos termos dos arts. 62 e 89 da Lei nº 8.213/91.</w:t>
      </w:r>
    </w:p>
    <w:p w14:paraId="48BCF298" w14:textId="77777777" w:rsidR="0005294A" w:rsidRDefault="00000000">
      <w:pPr>
        <w:pStyle w:val="textonormal"/>
      </w:pPr>
      <w:r>
        <w:t>A reabilitação profissional não pode ser presumida, tampouco substituída por mera afirmação genérica de que a parte segurada poderia exercer atividade diversa. É necessário que haja avaliação individualizada, compatível com as condições pessoais e sociais do segurado, de modo a verificar se a readaptação é concretamente viável e se permite o exercício de atividade que lhe garanta subsistência digna.</w:t>
      </w:r>
    </w:p>
    <w:p w14:paraId="13B39CD2" w14:textId="77777777" w:rsidR="0005294A" w:rsidRDefault="00000000">
      <w:pPr>
        <w:pStyle w:val="textonormal"/>
      </w:pPr>
      <w:r>
        <w:t>Assim, caso a perícia judicial conclua pela existência de incapacidade para a atividade habitual, mas entenda possível o desempenho de outra função, requer-se que seja expressamente analisada a necessidade de submissão da parte autora a processo de reabilitação profissional, mantendo-se o benefício por incapacidade até a conclusão do procedimento, quando indispensável à reinserção laboral segura e compatível com suas limitações.</w:t>
      </w:r>
    </w:p>
    <w:p w14:paraId="6C93D178" w14:textId="77777777" w:rsidR="0005294A" w:rsidRDefault="00000000">
      <w:pPr>
        <w:pStyle w:val="Ttulo1"/>
      </w:pPr>
      <w:r>
        <w:rPr>
          <w:b w:val="0"/>
        </w:rPr>
        <w:lastRenderedPageBreak/>
        <w:t>5. Dos Pedidos</w:t>
      </w:r>
    </w:p>
    <w:p w14:paraId="7DD7D6BC" w14:textId="77777777" w:rsidR="0005294A" w:rsidRDefault="00000000">
      <w:pPr>
        <w:pStyle w:val="textonormal"/>
      </w:pPr>
      <w:r>
        <w:t>Ante todo o exposto, requer:</w:t>
      </w:r>
    </w:p>
    <w:p w14:paraId="5C55EB19" w14:textId="77777777" w:rsidR="0005294A" w:rsidRDefault="00000000">
      <w:pPr>
        <w:pStyle w:val="textonormal"/>
      </w:pPr>
      <w:r>
        <w:t>a) a concessão dos benefícios da gratuidade de justiça à parte autora;</w:t>
      </w:r>
    </w:p>
    <w:p w14:paraId="67290136" w14:textId="77777777" w:rsidR="0005294A" w:rsidRDefault="00000000">
      <w:pPr>
        <w:pStyle w:val="textonormal"/>
      </w:pPr>
      <w:r>
        <w:t>b) a citação do INSS para apresentar resposta no prazo legal;</w:t>
      </w:r>
    </w:p>
    <w:p w14:paraId="2B205A5F" w14:textId="77777777" w:rsidR="0005294A" w:rsidRDefault="00000000">
      <w:pPr>
        <w:pStyle w:val="textonormal"/>
      </w:pPr>
      <w:r>
        <w:t>c) a não realização de audiência de conciliação ou de mediação;</w:t>
      </w:r>
    </w:p>
    <w:p w14:paraId="1337BB9E" w14:textId="77777777" w:rsidR="0005294A" w:rsidRDefault="00000000">
      <w:pPr>
        <w:pStyle w:val="textonormal"/>
      </w:pPr>
      <w:r>
        <w:t>d) a produção de todos os meios de prova em direito admitidos, especialmente documental, testemunhal e pericial, com realização de perícia médica por especialista em ortopedia e traumatologia, observada a Resolução nº 2.183/2018 do CFM e o Parecer nº 10/2012 do Conselho Federal de Medicina;</w:t>
      </w:r>
    </w:p>
    <w:p w14:paraId="5C254C5A" w14:textId="77777777" w:rsidR="0005294A" w:rsidRDefault="00000000">
      <w:pPr>
        <w:pStyle w:val="textonormal"/>
      </w:pPr>
      <w:r>
        <w:t>e) que sejam respondidos todos os quesitos apresentados pela parte autora, conforme art. 465, §1º, III, do CPC;</w:t>
      </w:r>
    </w:p>
    <w:p w14:paraId="1DEEFC21" w14:textId="77777777" w:rsidR="0005294A" w:rsidRDefault="00000000">
      <w:pPr>
        <w:pStyle w:val="textonormal"/>
      </w:pPr>
      <w:r>
        <w:t>f) a intimação da parte autora para manifestação sobre o laudo pericial, nos termos do art. 477, §1º, do CPC;</w:t>
      </w:r>
    </w:p>
    <w:p w14:paraId="744B32E3" w14:textId="77777777" w:rsidR="0005294A" w:rsidRDefault="00000000">
      <w:pPr>
        <w:pStyle w:val="textonormal"/>
      </w:pPr>
      <w:r>
        <w:t>g) ao final, a total procedência da ação, para:</w:t>
      </w:r>
    </w:p>
    <w:p w14:paraId="03EC1173" w14:textId="77777777" w:rsidR="0005294A" w:rsidRDefault="00000000">
      <w:pPr>
        <w:pStyle w:val="textonormal"/>
      </w:pPr>
      <w:r>
        <w:t>g.1) condenar o INSS a conceder o benefício de auxílio-doença em favor da Autora, desde a DER em 15/01/2026, NB 698.123.456-7, com pagamento das parcelas vencidas, corrigidas monetariamente e com juros de mora na forma da lei;</w:t>
      </w:r>
    </w:p>
    <w:p w14:paraId="12661A4F" w14:textId="77777777" w:rsidR="0005294A" w:rsidRDefault="00000000">
      <w:pPr>
        <w:pStyle w:val="textonormal"/>
      </w:pPr>
      <w:r>
        <w:t>g.2) subsidiariamente, em caso de constatação de incapacidade permanente e total, a conversão em aposentadoria por incapacidade permanente, desde a mesma data;</w:t>
      </w:r>
    </w:p>
    <w:p w14:paraId="720BFEA5" w14:textId="77777777" w:rsidR="0005294A" w:rsidRDefault="00000000">
      <w:pPr>
        <w:pStyle w:val="textonormal"/>
      </w:pPr>
      <w:r>
        <w:t>g.3) subsidiariamente, em caso de incapacidade parcial e permanente com viabilidade reabilitativa, a submissão da Autora a programa de reabilitação profissional, nos termos dos arts. 89 a 93 da Lei 8.213/91, mantido o benefício até a efetiva conclusão;</w:t>
      </w:r>
    </w:p>
    <w:p w14:paraId="5134F7C0" w14:textId="77777777" w:rsidR="0005294A" w:rsidRDefault="00000000">
      <w:pPr>
        <w:pStyle w:val="textonormal"/>
      </w:pPr>
      <w:r>
        <w:t>h) a condenação do INSS ao pagamento dos honorários advocatícios de sucumbência, em caso de pretensão recursal por parte do INSS, nos termos da Súmula 111 do STJ c/c art. 55 da Lei 9.099/95 c/c art. 1º da Lei 10.259/2001.</w:t>
      </w:r>
    </w:p>
    <w:p w14:paraId="78116BAB" w14:textId="77777777" w:rsidR="0005294A" w:rsidRDefault="00000000">
      <w:pPr>
        <w:pStyle w:val="textonormal"/>
      </w:pPr>
      <w:r>
        <w:t>A parte autora declara estar ciente de que os valores postulados perante o Juizado Especial Federal não poderão exceder 60 (sessenta) salários-mínimos, renunciando, expressamente, até a presente data, ao eventual excedente.</w:t>
      </w:r>
    </w:p>
    <w:p w14:paraId="4F5C870A" w14:textId="77777777" w:rsidR="0005294A" w:rsidRDefault="00000000">
      <w:pPr>
        <w:pStyle w:val="textonormal"/>
      </w:pPr>
      <w:r>
        <w:lastRenderedPageBreak/>
        <w:t>Atribui-se à presente causa o valor de R$ 30.600,00 (trinta mil e seiscentos reais).</w:t>
      </w:r>
    </w:p>
    <w:p w14:paraId="2BB577A8" w14:textId="77777777" w:rsidR="0005294A" w:rsidRDefault="00000000">
      <w:pPr>
        <w:pStyle w:val="textonormal"/>
      </w:pPr>
      <w:r>
        <w:t>Nesses termos, pede deferimento.</w:t>
      </w:r>
    </w:p>
    <w:p w14:paraId="6BBC2685" w14:textId="77777777" w:rsidR="0005294A" w:rsidRDefault="00000000" w:rsidP="00985D70">
      <w:pPr>
        <w:pStyle w:val="dataassinatura"/>
        <w:jc w:val="right"/>
      </w:pPr>
      <w:r>
        <w:t>Goiânia, 22 de junho de 2026.</w:t>
      </w:r>
    </w:p>
    <w:p w14:paraId="2C1EA8E4" w14:textId="77777777" w:rsidR="0005294A" w:rsidRDefault="00000000" w:rsidP="00985D70">
      <w:pPr>
        <w:pStyle w:val="dataassinatura"/>
        <w:spacing w:before="0" w:beforeAutospacing="0" w:after="0" w:afterAutospacing="0"/>
        <w:jc w:val="center"/>
      </w:pPr>
      <w:r>
        <w:rPr>
          <w:b/>
        </w:rPr>
        <w:t>RAÍSSA LOBO BORGES</w:t>
      </w:r>
    </w:p>
    <w:p w14:paraId="40CDB10D" w14:textId="77777777" w:rsidR="00985D70" w:rsidRDefault="00000000" w:rsidP="00985D70">
      <w:pPr>
        <w:pStyle w:val="dataassinatura"/>
        <w:spacing w:before="0" w:beforeAutospacing="0" w:after="0" w:afterAutospacing="0"/>
        <w:jc w:val="center"/>
      </w:pPr>
      <w:r>
        <w:t>OAB/GO nº 39.358</w:t>
      </w:r>
    </w:p>
    <w:p w14:paraId="6220A5AA" w14:textId="77777777" w:rsidR="00985D70" w:rsidRDefault="00000000" w:rsidP="00985D70">
      <w:pPr>
        <w:pStyle w:val="dataassinatura"/>
        <w:spacing w:before="0" w:beforeAutospacing="0" w:after="0" w:afterAutospacing="0"/>
        <w:jc w:val="center"/>
      </w:pPr>
      <w:r>
        <w:t>OAB/DF nº 51.424</w:t>
      </w:r>
    </w:p>
    <w:p w14:paraId="2F41EDF3" w14:textId="6C3FAEC5" w:rsidR="0005294A" w:rsidRDefault="00000000" w:rsidP="00985D70">
      <w:pPr>
        <w:pStyle w:val="dataassinatura"/>
        <w:spacing w:before="0" w:beforeAutospacing="0" w:after="0" w:afterAutospacing="0"/>
        <w:jc w:val="center"/>
      </w:pPr>
      <w:r>
        <w:t>OAB/SP nº 541.449</w:t>
      </w:r>
    </w:p>
    <w:sectPr w:rsidR="0005294A" w:rsidSect="00D12BA2">
      <w:headerReference w:type="default" r:id="rId8"/>
      <w:footerReference w:type="default" r:id="rId9"/>
      <w:type w:val="continuous"/>
      <w:pgSz w:w="11906" w:h="16838"/>
      <w:pgMar w:top="2224" w:right="1701" w:bottom="284" w:left="1701" w:header="708" w:footer="10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73FB1" w14:textId="77777777" w:rsidR="006C0FB2" w:rsidRDefault="006C0FB2">
      <w:pPr>
        <w:spacing w:after="0" w:line="240" w:lineRule="auto"/>
      </w:pPr>
      <w:r>
        <w:separator/>
      </w:r>
    </w:p>
  </w:endnote>
  <w:endnote w:type="continuationSeparator" w:id="0">
    <w:p w14:paraId="3F720E82" w14:textId="77777777" w:rsidR="006C0FB2" w:rsidRDefault="006C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sans-serif">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647B" w14:textId="77777777" w:rsidR="009E6612" w:rsidRDefault="001D0D5A">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7728" behindDoc="0" locked="0" layoutInCell="1" hidden="0" allowOverlap="1" wp14:anchorId="0D90B842" wp14:editId="366BBCBB">
          <wp:simplePos x="0" y="0"/>
          <wp:positionH relativeFrom="page">
            <wp:align>left</wp:align>
          </wp:positionH>
          <wp:positionV relativeFrom="paragraph">
            <wp:posOffset>486410</wp:posOffset>
          </wp:positionV>
          <wp:extent cx="7562850" cy="675640"/>
          <wp:effectExtent l="0" t="0" r="0" b="0"/>
          <wp:wrapTopAndBottom distT="0" distB="0"/>
          <wp:docPr id="143309721" name="Imagem 14330972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62850" cy="67564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F4EBA" w14:textId="77777777" w:rsidR="006C0FB2" w:rsidRDefault="006C0FB2">
      <w:pPr>
        <w:spacing w:after="0" w:line="240" w:lineRule="auto"/>
      </w:pPr>
      <w:r>
        <w:separator/>
      </w:r>
    </w:p>
  </w:footnote>
  <w:footnote w:type="continuationSeparator" w:id="0">
    <w:p w14:paraId="13E2E2D1" w14:textId="77777777" w:rsidR="006C0FB2" w:rsidRDefault="006C0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4174" w14:textId="77777777" w:rsidR="009E6612" w:rsidRDefault="00D12BA2">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752" behindDoc="0" locked="1" layoutInCell="1" allowOverlap="1" wp14:anchorId="6423B768" wp14:editId="72C727C6">
          <wp:simplePos x="0" y="0"/>
          <wp:positionH relativeFrom="margin">
            <wp:posOffset>1929636</wp:posOffset>
          </wp:positionH>
          <wp:positionV relativeFrom="page">
            <wp:posOffset>399415</wp:posOffset>
          </wp:positionV>
          <wp:extent cx="1620000" cy="813600"/>
          <wp:effectExtent l="0" t="0" r="0" b="5715"/>
          <wp:wrapNone/>
          <wp:docPr id="1691810262" name="Imagem 1" descr="Placa vermelha com letras brancas em fundo pre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23225" name="Imagem 1" descr="Placa vermelha com letras brancas em fundo preto&#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1620000" cy="81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D8D"/>
    <w:multiLevelType w:val="multilevel"/>
    <w:tmpl w:val="31BC5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71148"/>
    <w:multiLevelType w:val="hybridMultilevel"/>
    <w:tmpl w:val="65F85BD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9D02E1D"/>
    <w:multiLevelType w:val="hybridMultilevel"/>
    <w:tmpl w:val="5A1427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BB5D22"/>
    <w:multiLevelType w:val="multilevel"/>
    <w:tmpl w:val="75A83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83BAC"/>
    <w:multiLevelType w:val="multilevel"/>
    <w:tmpl w:val="2A2A0824"/>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start w:val="1"/>
      <w:numFmt w:val="upperLetter"/>
      <w:lvlText w:val="%3)"/>
      <w:lvlJc w:val="left"/>
      <w:pPr>
        <w:tabs>
          <w:tab w:val="num" w:pos="2160"/>
        </w:tabs>
        <w:ind w:left="2160" w:hanging="360"/>
      </w:pPr>
      <w:rPr>
        <w:rFonts w:ascii="Arial Nova Light" w:eastAsiaTheme="minorHAnsi" w:hAnsi="Arial Nova Light" w:cstheme="minorBidi"/>
      </w:r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134A3D1B"/>
    <w:multiLevelType w:val="multilevel"/>
    <w:tmpl w:val="F29016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8580DCF"/>
    <w:multiLevelType w:val="hybridMultilevel"/>
    <w:tmpl w:val="F6BACA4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BDC1029"/>
    <w:multiLevelType w:val="hybridMultilevel"/>
    <w:tmpl w:val="622244D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1A858E8"/>
    <w:multiLevelType w:val="multilevel"/>
    <w:tmpl w:val="F8382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12655"/>
    <w:multiLevelType w:val="hybridMultilevel"/>
    <w:tmpl w:val="67F24E96"/>
    <w:lvl w:ilvl="0" w:tplc="568489FE">
      <w:start w:val="1"/>
      <w:numFmt w:val="upperRoman"/>
      <w:lvlText w:val="%1-"/>
      <w:lvlJc w:val="left"/>
      <w:pPr>
        <w:ind w:left="1854" w:hanging="72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0" w15:restartNumberingAfterBreak="0">
    <w:nsid w:val="2EC625D8"/>
    <w:multiLevelType w:val="multilevel"/>
    <w:tmpl w:val="EEA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84BB2"/>
    <w:multiLevelType w:val="hybridMultilevel"/>
    <w:tmpl w:val="5E9036E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221A3E"/>
    <w:multiLevelType w:val="hybridMultilevel"/>
    <w:tmpl w:val="CA189D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12E6338"/>
    <w:multiLevelType w:val="multilevel"/>
    <w:tmpl w:val="47A04D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9829F7"/>
    <w:multiLevelType w:val="hybridMultilevel"/>
    <w:tmpl w:val="C1E4D74C"/>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78824A8"/>
    <w:multiLevelType w:val="multilevel"/>
    <w:tmpl w:val="117E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71B83"/>
    <w:multiLevelType w:val="multilevel"/>
    <w:tmpl w:val="68FACC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A40573"/>
    <w:multiLevelType w:val="hybridMultilevel"/>
    <w:tmpl w:val="7110E7B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3914949"/>
    <w:multiLevelType w:val="hybridMultilevel"/>
    <w:tmpl w:val="6D0620F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3D80162"/>
    <w:multiLevelType w:val="hybridMultilevel"/>
    <w:tmpl w:val="7D72F5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4CF0399"/>
    <w:multiLevelType w:val="hybridMultilevel"/>
    <w:tmpl w:val="039E3288"/>
    <w:lvl w:ilvl="0" w:tplc="0416000F">
      <w:start w:val="1"/>
      <w:numFmt w:val="decimal"/>
      <w:lvlText w:val="%1."/>
      <w:lvlJc w:val="left"/>
      <w:pPr>
        <w:ind w:left="360" w:hanging="360"/>
      </w:pPr>
    </w:lvl>
    <w:lvl w:ilvl="1" w:tplc="E32E0FC6">
      <w:start w:val="1"/>
      <w:numFmt w:val="lowerLetter"/>
      <w:lvlText w:val="%2)"/>
      <w:lvlJc w:val="left"/>
      <w:pPr>
        <w:ind w:left="1080" w:hanging="360"/>
      </w:pPr>
      <w:rPr>
        <w:rFonts w:hint="default"/>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45EF297C"/>
    <w:multiLevelType w:val="hybridMultilevel"/>
    <w:tmpl w:val="F67CA652"/>
    <w:lvl w:ilvl="0" w:tplc="9B14C5C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D7012F5"/>
    <w:multiLevelType w:val="hybridMultilevel"/>
    <w:tmpl w:val="CD5CFA88"/>
    <w:lvl w:ilvl="0" w:tplc="04160017">
      <w:start w:val="1"/>
      <w:numFmt w:val="lowerLetter"/>
      <w:lvlText w:val="%1)"/>
      <w:lvlJc w:val="left"/>
      <w:pPr>
        <w:ind w:left="2421" w:hanging="360"/>
      </w:pPr>
    </w:lvl>
    <w:lvl w:ilvl="1" w:tplc="04160019" w:tentative="1">
      <w:start w:val="1"/>
      <w:numFmt w:val="lowerLetter"/>
      <w:lvlText w:val="%2."/>
      <w:lvlJc w:val="left"/>
      <w:pPr>
        <w:ind w:left="3141" w:hanging="360"/>
      </w:pPr>
    </w:lvl>
    <w:lvl w:ilvl="2" w:tplc="0416001B" w:tentative="1">
      <w:start w:val="1"/>
      <w:numFmt w:val="lowerRoman"/>
      <w:lvlText w:val="%3."/>
      <w:lvlJc w:val="right"/>
      <w:pPr>
        <w:ind w:left="3861" w:hanging="180"/>
      </w:pPr>
    </w:lvl>
    <w:lvl w:ilvl="3" w:tplc="0416000F" w:tentative="1">
      <w:start w:val="1"/>
      <w:numFmt w:val="decimal"/>
      <w:lvlText w:val="%4."/>
      <w:lvlJc w:val="left"/>
      <w:pPr>
        <w:ind w:left="4581" w:hanging="360"/>
      </w:pPr>
    </w:lvl>
    <w:lvl w:ilvl="4" w:tplc="04160019" w:tentative="1">
      <w:start w:val="1"/>
      <w:numFmt w:val="lowerLetter"/>
      <w:lvlText w:val="%5."/>
      <w:lvlJc w:val="left"/>
      <w:pPr>
        <w:ind w:left="5301" w:hanging="360"/>
      </w:pPr>
    </w:lvl>
    <w:lvl w:ilvl="5" w:tplc="0416001B" w:tentative="1">
      <w:start w:val="1"/>
      <w:numFmt w:val="lowerRoman"/>
      <w:lvlText w:val="%6."/>
      <w:lvlJc w:val="right"/>
      <w:pPr>
        <w:ind w:left="6021" w:hanging="180"/>
      </w:pPr>
    </w:lvl>
    <w:lvl w:ilvl="6" w:tplc="0416000F" w:tentative="1">
      <w:start w:val="1"/>
      <w:numFmt w:val="decimal"/>
      <w:lvlText w:val="%7."/>
      <w:lvlJc w:val="left"/>
      <w:pPr>
        <w:ind w:left="6741" w:hanging="360"/>
      </w:pPr>
    </w:lvl>
    <w:lvl w:ilvl="7" w:tplc="04160019" w:tentative="1">
      <w:start w:val="1"/>
      <w:numFmt w:val="lowerLetter"/>
      <w:lvlText w:val="%8."/>
      <w:lvlJc w:val="left"/>
      <w:pPr>
        <w:ind w:left="7461" w:hanging="360"/>
      </w:pPr>
    </w:lvl>
    <w:lvl w:ilvl="8" w:tplc="0416001B" w:tentative="1">
      <w:start w:val="1"/>
      <w:numFmt w:val="lowerRoman"/>
      <w:lvlText w:val="%9."/>
      <w:lvlJc w:val="right"/>
      <w:pPr>
        <w:ind w:left="8181" w:hanging="180"/>
      </w:pPr>
    </w:lvl>
  </w:abstractNum>
  <w:abstractNum w:abstractNumId="23" w15:restartNumberingAfterBreak="0">
    <w:nsid w:val="4F5831B9"/>
    <w:multiLevelType w:val="multilevel"/>
    <w:tmpl w:val="7B2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C7540"/>
    <w:multiLevelType w:val="multilevel"/>
    <w:tmpl w:val="E604D5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5209A"/>
    <w:multiLevelType w:val="multilevel"/>
    <w:tmpl w:val="DB60AA6A"/>
    <w:lvl w:ilvl="0">
      <w:start w:val="1"/>
      <w:numFmt w:val="lowerLetter"/>
      <w:lvlText w:val="%1)"/>
      <w:lvlJc w:val="left"/>
      <w:pPr>
        <w:ind w:left="2421" w:hanging="360"/>
      </w:p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26" w15:restartNumberingAfterBreak="0">
    <w:nsid w:val="586A2BD9"/>
    <w:multiLevelType w:val="hybridMultilevel"/>
    <w:tmpl w:val="4966422E"/>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7B350F"/>
    <w:multiLevelType w:val="multilevel"/>
    <w:tmpl w:val="94ECAFD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8D0081"/>
    <w:multiLevelType w:val="hybridMultilevel"/>
    <w:tmpl w:val="0D0001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17D37D5"/>
    <w:multiLevelType w:val="multilevel"/>
    <w:tmpl w:val="5FEAE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CA4DFA"/>
    <w:multiLevelType w:val="multilevel"/>
    <w:tmpl w:val="518A7316"/>
    <w:lvl w:ilvl="0">
      <w:start w:val="1"/>
      <w:numFmt w:val="decimal"/>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75D393F"/>
    <w:multiLevelType w:val="hybridMultilevel"/>
    <w:tmpl w:val="E9C85246"/>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2" w15:restartNumberingAfterBreak="0">
    <w:nsid w:val="69EE292F"/>
    <w:multiLevelType w:val="multilevel"/>
    <w:tmpl w:val="727EAB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522CEA"/>
    <w:multiLevelType w:val="multilevel"/>
    <w:tmpl w:val="81E6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267E4"/>
    <w:multiLevelType w:val="multilevel"/>
    <w:tmpl w:val="BDD05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55401C"/>
    <w:multiLevelType w:val="multilevel"/>
    <w:tmpl w:val="4EC8B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82E52"/>
    <w:multiLevelType w:val="hybridMultilevel"/>
    <w:tmpl w:val="6C92A8D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7" w15:restartNumberingAfterBreak="0">
    <w:nsid w:val="71E51C4E"/>
    <w:multiLevelType w:val="multilevel"/>
    <w:tmpl w:val="36E0A54A"/>
    <w:lvl w:ilvl="0">
      <w:start w:val="1"/>
      <w:numFmt w:val="decimal"/>
      <w:lvlText w:val="%1"/>
      <w:lvlJc w:val="left"/>
      <w:pPr>
        <w:ind w:left="360" w:hanging="360"/>
      </w:pPr>
      <w:rPr>
        <w:rFonts w:hint="default"/>
      </w:rPr>
    </w:lvl>
    <w:lvl w:ilvl="1">
      <w:start w:val="1"/>
      <w:numFmt w:val="decimal"/>
      <w:lvlText w:val="%1.%2"/>
      <w:lvlJc w:val="left"/>
      <w:pPr>
        <w:ind w:left="2421" w:hanging="72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6183" w:hanging="1080"/>
      </w:pPr>
      <w:rPr>
        <w:rFonts w:hint="default"/>
      </w:rPr>
    </w:lvl>
    <w:lvl w:ilvl="4">
      <w:start w:val="1"/>
      <w:numFmt w:val="decimal"/>
      <w:lvlText w:val="%1.%2.%3.%4.%5"/>
      <w:lvlJc w:val="left"/>
      <w:pPr>
        <w:ind w:left="8244" w:hanging="1440"/>
      </w:pPr>
      <w:rPr>
        <w:rFonts w:hint="default"/>
      </w:rPr>
    </w:lvl>
    <w:lvl w:ilvl="5">
      <w:start w:val="1"/>
      <w:numFmt w:val="decimal"/>
      <w:lvlText w:val="%1.%2.%3.%4.%5.%6"/>
      <w:lvlJc w:val="left"/>
      <w:pPr>
        <w:ind w:left="10305" w:hanging="1800"/>
      </w:pPr>
      <w:rPr>
        <w:rFonts w:hint="default"/>
      </w:rPr>
    </w:lvl>
    <w:lvl w:ilvl="6">
      <w:start w:val="1"/>
      <w:numFmt w:val="decimal"/>
      <w:lvlText w:val="%1.%2.%3.%4.%5.%6.%7"/>
      <w:lvlJc w:val="left"/>
      <w:pPr>
        <w:ind w:left="12006" w:hanging="1800"/>
      </w:pPr>
      <w:rPr>
        <w:rFonts w:hint="default"/>
      </w:rPr>
    </w:lvl>
    <w:lvl w:ilvl="7">
      <w:start w:val="1"/>
      <w:numFmt w:val="decimal"/>
      <w:lvlText w:val="%1.%2.%3.%4.%5.%6.%7.%8"/>
      <w:lvlJc w:val="left"/>
      <w:pPr>
        <w:ind w:left="14067" w:hanging="2160"/>
      </w:pPr>
      <w:rPr>
        <w:rFonts w:hint="default"/>
      </w:rPr>
    </w:lvl>
    <w:lvl w:ilvl="8">
      <w:start w:val="1"/>
      <w:numFmt w:val="decimal"/>
      <w:lvlText w:val="%1.%2.%3.%4.%5.%6.%7.%8.%9"/>
      <w:lvlJc w:val="left"/>
      <w:pPr>
        <w:ind w:left="16128" w:hanging="2520"/>
      </w:pPr>
      <w:rPr>
        <w:rFonts w:hint="default"/>
      </w:rPr>
    </w:lvl>
  </w:abstractNum>
  <w:abstractNum w:abstractNumId="38" w15:restartNumberingAfterBreak="0">
    <w:nsid w:val="7A764561"/>
    <w:multiLevelType w:val="hybridMultilevel"/>
    <w:tmpl w:val="CCE29CC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EDD463D"/>
    <w:multiLevelType w:val="hybridMultilevel"/>
    <w:tmpl w:val="8610B0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F2A389B"/>
    <w:multiLevelType w:val="hybridMultilevel"/>
    <w:tmpl w:val="57BC385A"/>
    <w:lvl w:ilvl="0" w:tplc="899CB1C8">
      <w:start w:val="1"/>
      <w:numFmt w:val="decimal"/>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67334944">
    <w:abstractNumId w:val="40"/>
  </w:num>
  <w:num w:numId="2" w16cid:durableId="2043436092">
    <w:abstractNumId w:val="37"/>
  </w:num>
  <w:num w:numId="3" w16cid:durableId="985938402">
    <w:abstractNumId w:val="22"/>
  </w:num>
  <w:num w:numId="4" w16cid:durableId="1027870617">
    <w:abstractNumId w:val="4"/>
  </w:num>
  <w:num w:numId="5" w16cid:durableId="1283222593">
    <w:abstractNumId w:val="25"/>
  </w:num>
  <w:num w:numId="6" w16cid:durableId="62458084">
    <w:abstractNumId w:val="30"/>
  </w:num>
  <w:num w:numId="7" w16cid:durableId="1600290597">
    <w:abstractNumId w:val="32"/>
  </w:num>
  <w:num w:numId="8" w16cid:durableId="2115325702">
    <w:abstractNumId w:val="9"/>
  </w:num>
  <w:num w:numId="9" w16cid:durableId="1460995668">
    <w:abstractNumId w:val="14"/>
  </w:num>
  <w:num w:numId="10" w16cid:durableId="773985057">
    <w:abstractNumId w:val="7"/>
  </w:num>
  <w:num w:numId="11" w16cid:durableId="1165392243">
    <w:abstractNumId w:val="19"/>
  </w:num>
  <w:num w:numId="12" w16cid:durableId="1023358890">
    <w:abstractNumId w:val="12"/>
  </w:num>
  <w:num w:numId="13" w16cid:durableId="665941097">
    <w:abstractNumId w:val="1"/>
  </w:num>
  <w:num w:numId="14" w16cid:durableId="933052684">
    <w:abstractNumId w:val="20"/>
  </w:num>
  <w:num w:numId="15" w16cid:durableId="1542938177">
    <w:abstractNumId w:val="23"/>
  </w:num>
  <w:num w:numId="16" w16cid:durableId="421949553">
    <w:abstractNumId w:val="15"/>
  </w:num>
  <w:num w:numId="17" w16cid:durableId="1075515264">
    <w:abstractNumId w:val="33"/>
  </w:num>
  <w:num w:numId="18" w16cid:durableId="1304774072">
    <w:abstractNumId w:val="36"/>
  </w:num>
  <w:num w:numId="19" w16cid:durableId="535044304">
    <w:abstractNumId w:val="39"/>
  </w:num>
  <w:num w:numId="20" w16cid:durableId="1455513558">
    <w:abstractNumId w:val="28"/>
  </w:num>
  <w:num w:numId="21" w16cid:durableId="1326398855">
    <w:abstractNumId w:val="26"/>
  </w:num>
  <w:num w:numId="22" w16cid:durableId="1960799587">
    <w:abstractNumId w:val="18"/>
  </w:num>
  <w:num w:numId="23" w16cid:durableId="316374904">
    <w:abstractNumId w:val="38"/>
  </w:num>
  <w:num w:numId="24" w16cid:durableId="1859156430">
    <w:abstractNumId w:val="6"/>
  </w:num>
  <w:num w:numId="25" w16cid:durableId="90780420">
    <w:abstractNumId w:val="31"/>
  </w:num>
  <w:num w:numId="26" w16cid:durableId="1200163017">
    <w:abstractNumId w:val="17"/>
  </w:num>
  <w:num w:numId="27" w16cid:durableId="105396003">
    <w:abstractNumId w:val="35"/>
  </w:num>
  <w:num w:numId="28" w16cid:durableId="1643651624">
    <w:abstractNumId w:val="5"/>
  </w:num>
  <w:num w:numId="29" w16cid:durableId="985167728">
    <w:abstractNumId w:val="29"/>
  </w:num>
  <w:num w:numId="30" w16cid:durableId="1391660357">
    <w:abstractNumId w:val="8"/>
  </w:num>
  <w:num w:numId="31" w16cid:durableId="966543863">
    <w:abstractNumId w:val="21"/>
  </w:num>
  <w:num w:numId="32" w16cid:durableId="1203399128">
    <w:abstractNumId w:val="10"/>
  </w:num>
  <w:num w:numId="33" w16cid:durableId="1202354502">
    <w:abstractNumId w:val="3"/>
  </w:num>
  <w:num w:numId="34" w16cid:durableId="350104488">
    <w:abstractNumId w:val="24"/>
  </w:num>
  <w:num w:numId="35" w16cid:durableId="1057774">
    <w:abstractNumId w:val="0"/>
  </w:num>
  <w:num w:numId="36" w16cid:durableId="1629974626">
    <w:abstractNumId w:val="16"/>
  </w:num>
  <w:num w:numId="37" w16cid:durableId="456685100">
    <w:abstractNumId w:val="13"/>
  </w:num>
  <w:num w:numId="38" w16cid:durableId="657077154">
    <w:abstractNumId w:val="27"/>
  </w:num>
  <w:num w:numId="39" w16cid:durableId="1767193101">
    <w:abstractNumId w:val="34"/>
  </w:num>
  <w:num w:numId="40" w16cid:durableId="634794228">
    <w:abstractNumId w:val="11"/>
  </w:num>
  <w:num w:numId="41" w16cid:durableId="961766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612"/>
    <w:rsid w:val="000210D6"/>
    <w:rsid w:val="00034718"/>
    <w:rsid w:val="00037C9E"/>
    <w:rsid w:val="00041844"/>
    <w:rsid w:val="0005294A"/>
    <w:rsid w:val="00054889"/>
    <w:rsid w:val="0007387E"/>
    <w:rsid w:val="00074C2D"/>
    <w:rsid w:val="00075F59"/>
    <w:rsid w:val="00091B14"/>
    <w:rsid w:val="000A695E"/>
    <w:rsid w:val="000A7224"/>
    <w:rsid w:val="000F55A2"/>
    <w:rsid w:val="00122551"/>
    <w:rsid w:val="00160F8F"/>
    <w:rsid w:val="001737AF"/>
    <w:rsid w:val="00186EE4"/>
    <w:rsid w:val="001C54AD"/>
    <w:rsid w:val="001D0D5A"/>
    <w:rsid w:val="001E58D9"/>
    <w:rsid w:val="001E69D9"/>
    <w:rsid w:val="001F66B5"/>
    <w:rsid w:val="002159F1"/>
    <w:rsid w:val="00216DA0"/>
    <w:rsid w:val="002217FC"/>
    <w:rsid w:val="002270BD"/>
    <w:rsid w:val="0023467D"/>
    <w:rsid w:val="00241356"/>
    <w:rsid w:val="00247A9B"/>
    <w:rsid w:val="002512BA"/>
    <w:rsid w:val="00252463"/>
    <w:rsid w:val="002575AB"/>
    <w:rsid w:val="002802C7"/>
    <w:rsid w:val="002828F4"/>
    <w:rsid w:val="002843DC"/>
    <w:rsid w:val="00297248"/>
    <w:rsid w:val="002A7A9C"/>
    <w:rsid w:val="002D4145"/>
    <w:rsid w:val="002E5CEE"/>
    <w:rsid w:val="002E72EE"/>
    <w:rsid w:val="0030144E"/>
    <w:rsid w:val="00303332"/>
    <w:rsid w:val="003406DC"/>
    <w:rsid w:val="00346DF1"/>
    <w:rsid w:val="0035457F"/>
    <w:rsid w:val="00360133"/>
    <w:rsid w:val="00362A3A"/>
    <w:rsid w:val="00371E58"/>
    <w:rsid w:val="00390C47"/>
    <w:rsid w:val="003A04AB"/>
    <w:rsid w:val="003A0D43"/>
    <w:rsid w:val="003B1DDA"/>
    <w:rsid w:val="003B3F00"/>
    <w:rsid w:val="003C204A"/>
    <w:rsid w:val="003C6974"/>
    <w:rsid w:val="003C71B1"/>
    <w:rsid w:val="0042316B"/>
    <w:rsid w:val="004306E8"/>
    <w:rsid w:val="0043241C"/>
    <w:rsid w:val="00460522"/>
    <w:rsid w:val="004B0B49"/>
    <w:rsid w:val="004F3C14"/>
    <w:rsid w:val="00500BEB"/>
    <w:rsid w:val="00507C3A"/>
    <w:rsid w:val="00515B2D"/>
    <w:rsid w:val="00531B10"/>
    <w:rsid w:val="00532950"/>
    <w:rsid w:val="00535CDB"/>
    <w:rsid w:val="00545B14"/>
    <w:rsid w:val="00554810"/>
    <w:rsid w:val="005636AB"/>
    <w:rsid w:val="005B0683"/>
    <w:rsid w:val="005C0170"/>
    <w:rsid w:val="005E03BE"/>
    <w:rsid w:val="005F404A"/>
    <w:rsid w:val="00614A2B"/>
    <w:rsid w:val="0062228C"/>
    <w:rsid w:val="00657232"/>
    <w:rsid w:val="00663EE6"/>
    <w:rsid w:val="00681E0C"/>
    <w:rsid w:val="00687775"/>
    <w:rsid w:val="006938D7"/>
    <w:rsid w:val="006A57E7"/>
    <w:rsid w:val="006C0FB2"/>
    <w:rsid w:val="006D2D62"/>
    <w:rsid w:val="006D4258"/>
    <w:rsid w:val="006F2F30"/>
    <w:rsid w:val="0070699C"/>
    <w:rsid w:val="00711D16"/>
    <w:rsid w:val="007607EB"/>
    <w:rsid w:val="00761CB6"/>
    <w:rsid w:val="007716D2"/>
    <w:rsid w:val="00783C52"/>
    <w:rsid w:val="007A7FB1"/>
    <w:rsid w:val="007B0683"/>
    <w:rsid w:val="007B106A"/>
    <w:rsid w:val="007C2913"/>
    <w:rsid w:val="007D7911"/>
    <w:rsid w:val="007F00AA"/>
    <w:rsid w:val="007F0C2D"/>
    <w:rsid w:val="00811539"/>
    <w:rsid w:val="008119C6"/>
    <w:rsid w:val="0082677C"/>
    <w:rsid w:val="00833D2E"/>
    <w:rsid w:val="00882315"/>
    <w:rsid w:val="00897B68"/>
    <w:rsid w:val="008B3050"/>
    <w:rsid w:val="008B48FB"/>
    <w:rsid w:val="008C48C6"/>
    <w:rsid w:val="008E1F54"/>
    <w:rsid w:val="00906D2D"/>
    <w:rsid w:val="00913C2B"/>
    <w:rsid w:val="00923DBE"/>
    <w:rsid w:val="00930504"/>
    <w:rsid w:val="009374FF"/>
    <w:rsid w:val="00962E65"/>
    <w:rsid w:val="00985D70"/>
    <w:rsid w:val="00990B63"/>
    <w:rsid w:val="00990F0F"/>
    <w:rsid w:val="009A3572"/>
    <w:rsid w:val="009D34BC"/>
    <w:rsid w:val="009E6105"/>
    <w:rsid w:val="009E6612"/>
    <w:rsid w:val="00A3621F"/>
    <w:rsid w:val="00A57EE5"/>
    <w:rsid w:val="00A609C7"/>
    <w:rsid w:val="00A60EBA"/>
    <w:rsid w:val="00A86448"/>
    <w:rsid w:val="00A9480B"/>
    <w:rsid w:val="00A948D1"/>
    <w:rsid w:val="00AA1E16"/>
    <w:rsid w:val="00AA4023"/>
    <w:rsid w:val="00AB3102"/>
    <w:rsid w:val="00AB7A1E"/>
    <w:rsid w:val="00B004C7"/>
    <w:rsid w:val="00B37D79"/>
    <w:rsid w:val="00B47872"/>
    <w:rsid w:val="00B57105"/>
    <w:rsid w:val="00B57AFC"/>
    <w:rsid w:val="00B91210"/>
    <w:rsid w:val="00BB7083"/>
    <w:rsid w:val="00BD68BD"/>
    <w:rsid w:val="00C27FB1"/>
    <w:rsid w:val="00C33E85"/>
    <w:rsid w:val="00C37519"/>
    <w:rsid w:val="00C464A2"/>
    <w:rsid w:val="00C771E8"/>
    <w:rsid w:val="00C9039A"/>
    <w:rsid w:val="00C909A6"/>
    <w:rsid w:val="00CA53E2"/>
    <w:rsid w:val="00CC6E2D"/>
    <w:rsid w:val="00D01E30"/>
    <w:rsid w:val="00D04485"/>
    <w:rsid w:val="00D056B1"/>
    <w:rsid w:val="00D113E9"/>
    <w:rsid w:val="00D12BA2"/>
    <w:rsid w:val="00D36C76"/>
    <w:rsid w:val="00D37ED2"/>
    <w:rsid w:val="00D414F3"/>
    <w:rsid w:val="00D53B73"/>
    <w:rsid w:val="00D80300"/>
    <w:rsid w:val="00D84EA5"/>
    <w:rsid w:val="00D95F98"/>
    <w:rsid w:val="00D97A31"/>
    <w:rsid w:val="00DD7CAF"/>
    <w:rsid w:val="00DE6D4D"/>
    <w:rsid w:val="00E00A20"/>
    <w:rsid w:val="00E00F1F"/>
    <w:rsid w:val="00E126E7"/>
    <w:rsid w:val="00E344E3"/>
    <w:rsid w:val="00E36DF6"/>
    <w:rsid w:val="00E53A7A"/>
    <w:rsid w:val="00EA2185"/>
    <w:rsid w:val="00EB2541"/>
    <w:rsid w:val="00EB41BF"/>
    <w:rsid w:val="00EC4A7C"/>
    <w:rsid w:val="00EC591A"/>
    <w:rsid w:val="00EE453D"/>
    <w:rsid w:val="00EF078F"/>
    <w:rsid w:val="00F00B8D"/>
    <w:rsid w:val="00F14D33"/>
    <w:rsid w:val="00F370AD"/>
    <w:rsid w:val="00F42AE5"/>
    <w:rsid w:val="00F46D29"/>
    <w:rsid w:val="00F56D5E"/>
    <w:rsid w:val="00F75211"/>
    <w:rsid w:val="00F75357"/>
    <w:rsid w:val="00FA3E2A"/>
    <w:rsid w:val="00FA6DBC"/>
    <w:rsid w:val="00FB6D8C"/>
    <w:rsid w:val="00FC448E"/>
    <w:rsid w:val="00FD64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BA022"/>
  <w15:docId w15:val="{E6F1F412-E6D7-45CB-8D19-166E2328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6"/>
        <w:szCs w:val="26"/>
        <w:lang w:val="pt-BR" w:eastAsia="pt-BR" w:bidi="ar-SA"/>
      </w:rPr>
    </w:rPrDefault>
    <w:pPrDefault>
      <w:pPr>
        <w:widowControl w:val="0"/>
        <w:spacing w:before="260" w:after="260" w:line="324" w:lineRule="auto"/>
        <w:ind w:firstLine="113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1. Parágrafo"/>
    <w:qFormat/>
    <w:rsid w:val="00054889"/>
    <w:pPr>
      <w:suppressAutoHyphens/>
      <w:spacing w:before="300" w:after="300" w:line="300" w:lineRule="auto"/>
      <w:ind w:firstLine="0"/>
    </w:pPr>
  </w:style>
  <w:style w:type="paragraph" w:styleId="Ttulo1">
    <w:name w:val="heading 1"/>
    <w:aliases w:val="Título Garamond"/>
    <w:basedOn w:val="Normal"/>
    <w:next w:val="Normal"/>
    <w:link w:val="Ttulo1Char"/>
    <w:autoRedefine/>
    <w:uiPriority w:val="9"/>
    <w:qFormat/>
    <w:rsid w:val="00D37ED2"/>
    <w:pPr>
      <w:keepNext/>
      <w:keepLines/>
      <w:widowControl/>
      <w:pBdr>
        <w:bottom w:val="threeDEmboss" w:sz="6" w:space="1" w:color="DACEB8" w:themeColor="accent1"/>
      </w:pBdr>
      <w:tabs>
        <w:tab w:val="left" w:pos="5954"/>
      </w:tabs>
      <w:suppressAutoHyphens w:val="0"/>
      <w:spacing w:before="480" w:after="200" w:line="276" w:lineRule="auto"/>
      <w:outlineLvl w:val="0"/>
    </w:pPr>
    <w:rPr>
      <w:rFonts w:eastAsiaTheme="majorEastAsia" w:cs="Arial"/>
      <w:b/>
      <w:smallCaps/>
      <w:color w:val="015B6B" w:themeColor="text2"/>
      <w:sz w:val="28"/>
      <w:szCs w:val="28"/>
      <w:lang w:eastAsia="en-US"/>
    </w:rPr>
  </w:style>
  <w:style w:type="paragraph" w:styleId="Ttulo2">
    <w:name w:val="heading 2"/>
    <w:aliases w:val="Sub título"/>
    <w:basedOn w:val="Normal"/>
    <w:next w:val="Normal"/>
    <w:link w:val="Ttulo2Char"/>
    <w:autoRedefine/>
    <w:uiPriority w:val="9"/>
    <w:unhideWhenUsed/>
    <w:qFormat/>
    <w:rsid w:val="007C2913"/>
    <w:pPr>
      <w:keepNext/>
      <w:keepLines/>
      <w:widowControl/>
      <w:suppressAutoHyphens w:val="0"/>
      <w:spacing w:before="480" w:after="200" w:line="276" w:lineRule="auto"/>
      <w:outlineLvl w:val="1"/>
    </w:pPr>
    <w:rPr>
      <w:rFonts w:ascii="Segoe UI" w:eastAsiaTheme="majorEastAsia" w:hAnsi="Segoe UI" w:cs="Arial"/>
      <w:i/>
      <w:color w:val="A87C00"/>
      <w:szCs w:val="22"/>
      <w:lang w:eastAsia="en-US"/>
    </w:rPr>
  </w:style>
  <w:style w:type="paragraph" w:styleId="Ttulo3">
    <w:name w:val="heading 3"/>
    <w:basedOn w:val="Normal"/>
    <w:next w:val="Normal"/>
    <w:link w:val="Ttulo3Char"/>
    <w:uiPriority w:val="9"/>
    <w:unhideWhenUsed/>
    <w:rsid w:val="00D61CFD"/>
    <w:pPr>
      <w:keepNext/>
      <w:keepLines/>
      <w:outlineLvl w:val="2"/>
    </w:pPr>
    <w:rPr>
      <w:b/>
      <w:smallCaps/>
      <w:sz w:val="30"/>
      <w:szCs w:val="28"/>
    </w:rPr>
  </w:style>
  <w:style w:type="paragraph" w:styleId="Ttulo4">
    <w:name w:val="heading 4"/>
    <w:basedOn w:val="Normal"/>
    <w:next w:val="Normal"/>
    <w:uiPriority w:val="9"/>
    <w:semiHidden/>
    <w:unhideWhenUsed/>
    <w:pPr>
      <w:keepNext/>
      <w:keepLines/>
      <w:spacing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emEspaamento">
    <w:name w:val="No Spacing"/>
    <w:aliases w:val="Citaçãoo,Citação Garamond"/>
    <w:autoRedefine/>
    <w:uiPriority w:val="1"/>
    <w:qFormat/>
    <w:rsid w:val="00C464A2"/>
    <w:pPr>
      <w:pBdr>
        <w:left w:val="threeDEmboss" w:sz="6" w:space="4" w:color="DACEB8" w:themeColor="accent1"/>
      </w:pBdr>
      <w:shd w:val="clear" w:color="auto" w:fill="F7F5F0" w:themeFill="accent1" w:themeFillTint="33"/>
      <w:spacing w:before="360" w:line="288" w:lineRule="auto"/>
      <w:ind w:left="1134" w:firstLine="0"/>
    </w:pPr>
    <w:rPr>
      <w:sz w:val="22"/>
    </w:rPr>
  </w:style>
  <w:style w:type="character" w:customStyle="1" w:styleId="Ttulo1Char">
    <w:name w:val="Título 1 Char"/>
    <w:aliases w:val="Título Garamond Char"/>
    <w:basedOn w:val="Fontepargpadro"/>
    <w:link w:val="Ttulo1"/>
    <w:uiPriority w:val="9"/>
    <w:rsid w:val="00D37ED2"/>
    <w:rPr>
      <w:rFonts w:eastAsiaTheme="majorEastAsia" w:cs="Arial"/>
      <w:b/>
      <w:smallCaps/>
      <w:color w:val="015B6B" w:themeColor="text2"/>
      <w:sz w:val="28"/>
      <w:szCs w:val="28"/>
      <w:lang w:eastAsia="en-US"/>
    </w:rPr>
  </w:style>
  <w:style w:type="character" w:customStyle="1" w:styleId="Ttulo2Char">
    <w:name w:val="Título 2 Char"/>
    <w:aliases w:val="Sub título Char"/>
    <w:basedOn w:val="Fontepargpadro"/>
    <w:link w:val="Ttulo2"/>
    <w:uiPriority w:val="9"/>
    <w:rsid w:val="007C2913"/>
    <w:rPr>
      <w:rFonts w:ascii="Segoe UI" w:eastAsiaTheme="majorEastAsia" w:hAnsi="Segoe UI" w:cs="Arial"/>
      <w:i/>
      <w:color w:val="A87C00"/>
      <w:sz w:val="22"/>
      <w:szCs w:val="22"/>
      <w:lang w:eastAsia="en-US"/>
    </w:rPr>
  </w:style>
  <w:style w:type="paragraph" w:styleId="Cabealho">
    <w:name w:val="header"/>
    <w:basedOn w:val="Normal"/>
    <w:link w:val="CabealhoChar"/>
    <w:uiPriority w:val="99"/>
    <w:unhideWhenUsed/>
    <w:rsid w:val="00A41FD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41FD3"/>
    <w:rPr>
      <w:rFonts w:ascii="Garamond" w:hAnsi="Garamond"/>
      <w:sz w:val="26"/>
    </w:rPr>
  </w:style>
  <w:style w:type="paragraph" w:styleId="Rodap">
    <w:name w:val="footer"/>
    <w:basedOn w:val="Normal"/>
    <w:link w:val="RodapChar"/>
    <w:uiPriority w:val="99"/>
    <w:unhideWhenUsed/>
    <w:rsid w:val="00A41FD3"/>
    <w:pPr>
      <w:tabs>
        <w:tab w:val="center" w:pos="4252"/>
        <w:tab w:val="right" w:pos="8504"/>
      </w:tabs>
      <w:spacing w:after="0" w:line="240" w:lineRule="auto"/>
    </w:pPr>
  </w:style>
  <w:style w:type="character" w:customStyle="1" w:styleId="RodapChar">
    <w:name w:val="Rodapé Char"/>
    <w:basedOn w:val="Fontepargpadro"/>
    <w:link w:val="Rodap"/>
    <w:uiPriority w:val="99"/>
    <w:rsid w:val="00A41FD3"/>
    <w:rPr>
      <w:rFonts w:ascii="Garamond" w:hAnsi="Garamond"/>
      <w:sz w:val="26"/>
    </w:rPr>
  </w:style>
  <w:style w:type="paragraph" w:customStyle="1" w:styleId="Standard">
    <w:name w:val="Standard"/>
    <w:rsid w:val="00D5415C"/>
    <w:pPr>
      <w:suppressAutoHyphens/>
      <w:autoSpaceDN w:val="0"/>
      <w:spacing w:after="0" w:line="240" w:lineRule="auto"/>
      <w:textAlignment w:val="baseline"/>
    </w:pPr>
    <w:rPr>
      <w:rFonts w:ascii="Liberation Serif" w:eastAsia="DejaVu Sans" w:hAnsi="Liberation Serif" w:cs="Lohit Hindi"/>
      <w:kern w:val="3"/>
      <w:sz w:val="24"/>
      <w:szCs w:val="24"/>
      <w:lang w:eastAsia="zh-CN" w:bidi="hi-IN"/>
    </w:rPr>
  </w:style>
  <w:style w:type="paragraph" w:styleId="Textodenotaderodap">
    <w:name w:val="footnote text"/>
    <w:basedOn w:val="Normal"/>
    <w:link w:val="TextodenotaderodapChar"/>
    <w:uiPriority w:val="99"/>
    <w:unhideWhenUsed/>
    <w:rsid w:val="00D5415C"/>
    <w:pPr>
      <w:widowControl/>
      <w:suppressAutoHyphens w:val="0"/>
      <w:autoSpaceDN w:val="0"/>
      <w:spacing w:before="0" w:after="0" w:line="240" w:lineRule="auto"/>
      <w:textAlignment w:val="baseline"/>
    </w:pPr>
    <w:rPr>
      <w:rFonts w:ascii="Liberation Serif" w:eastAsia="DejaVu Sans" w:hAnsi="Liberation Serif" w:cs="Mangal"/>
      <w:kern w:val="3"/>
      <w:sz w:val="20"/>
      <w:szCs w:val="18"/>
      <w:lang w:eastAsia="zh-CN" w:bidi="hi-IN"/>
    </w:rPr>
  </w:style>
  <w:style w:type="character" w:customStyle="1" w:styleId="TextodenotaderodapChar">
    <w:name w:val="Texto de nota de rodapé Char"/>
    <w:basedOn w:val="Fontepargpadro"/>
    <w:link w:val="Textodenotaderodap"/>
    <w:uiPriority w:val="99"/>
    <w:rsid w:val="00D5415C"/>
    <w:rPr>
      <w:rFonts w:ascii="Liberation Serif" w:eastAsia="DejaVu Sans" w:hAnsi="Liberation Serif" w:cs="Mangal"/>
      <w:kern w:val="3"/>
      <w:sz w:val="20"/>
      <w:szCs w:val="18"/>
      <w:lang w:eastAsia="zh-CN" w:bidi="hi-IN"/>
    </w:rPr>
  </w:style>
  <w:style w:type="character" w:styleId="Refdenotaderodap">
    <w:name w:val="footnote reference"/>
    <w:basedOn w:val="Fontepargpadro"/>
    <w:uiPriority w:val="99"/>
    <w:semiHidden/>
    <w:unhideWhenUsed/>
    <w:rsid w:val="00D5415C"/>
    <w:rPr>
      <w:vertAlign w:val="superscript"/>
    </w:rPr>
  </w:style>
  <w:style w:type="paragraph" w:styleId="Subttulo">
    <w:name w:val="Subtitle"/>
    <w:basedOn w:val="Normal"/>
    <w:next w:val="Normal"/>
    <w:uiPriority w:val="11"/>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rsid w:val="00B74C81"/>
    <w:pPr>
      <w:ind w:left="720"/>
      <w:contextualSpacing/>
    </w:pPr>
  </w:style>
  <w:style w:type="paragraph" w:customStyle="1" w:styleId="Ementa">
    <w:name w:val="Ementa"/>
    <w:basedOn w:val="Normal"/>
    <w:link w:val="EmentaChar"/>
    <w:autoRedefine/>
    <w:qFormat/>
    <w:rsid w:val="00C464A2"/>
    <w:pPr>
      <w:widowControl/>
      <w:pBdr>
        <w:top w:val="threeDEngrave" w:sz="24" w:space="1" w:color="DACEB8" w:themeColor="accent1" w:shadow="1"/>
        <w:left w:val="threeDEngrave" w:sz="24" w:space="4" w:color="DACEB8" w:themeColor="accent1" w:shadow="1"/>
        <w:bottom w:val="threeDEmboss" w:sz="24" w:space="1" w:color="DACEB8" w:themeColor="accent1" w:shadow="1"/>
        <w:right w:val="threeDEmboss" w:sz="24" w:space="4" w:color="DACEB8" w:themeColor="accent1" w:shadow="1"/>
      </w:pBdr>
      <w:shd w:val="clear" w:color="auto" w:fill="F7F5F0" w:themeFill="accent1" w:themeFillTint="33"/>
      <w:tabs>
        <w:tab w:val="left" w:pos="3892"/>
      </w:tabs>
      <w:suppressAutoHyphens w:val="0"/>
      <w:spacing w:before="240" w:after="240" w:line="276" w:lineRule="auto"/>
      <w:ind w:left="4253"/>
    </w:pPr>
    <w:rPr>
      <w:rFonts w:eastAsiaTheme="minorHAnsi" w:cstheme="minorBidi"/>
      <w:sz w:val="20"/>
      <w:szCs w:val="22"/>
      <w:lang w:eastAsia="en-US"/>
    </w:rPr>
  </w:style>
  <w:style w:type="character" w:customStyle="1" w:styleId="EmentaChar">
    <w:name w:val="Ementa Char"/>
    <w:basedOn w:val="Fontepargpadro"/>
    <w:link w:val="Ementa"/>
    <w:rsid w:val="00C464A2"/>
    <w:rPr>
      <w:rFonts w:asciiTheme="minorHAnsi" w:hAnsiTheme="minorHAnsi"/>
      <w:sz w:val="20"/>
      <w:shd w:val="clear" w:color="auto" w:fill="F7F5F0" w:themeFill="accent1" w:themeFillTint="33"/>
    </w:rPr>
  </w:style>
  <w:style w:type="paragraph" w:customStyle="1" w:styleId="enderecamento">
    <w:name w:val="enderecamento"/>
    <w:basedOn w:val="Normal"/>
    <w:rsid w:val="00FC4E7A"/>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link w:val="NormalWebChar"/>
    <w:uiPriority w:val="99"/>
    <w:unhideWhenUsed/>
    <w:rsid w:val="00FC4E7A"/>
    <w:pPr>
      <w:widowControl/>
      <w:suppressAutoHyphens w:val="0"/>
      <w:spacing w:before="100" w:beforeAutospacing="1" w:after="100" w:afterAutospacing="1" w:line="240" w:lineRule="auto"/>
    </w:pPr>
    <w:rPr>
      <w:rFonts w:ascii="Times New Roman" w:eastAsia="Times New Roman" w:hAnsi="Times New Roman" w:cs="Times New Roman"/>
      <w:szCs w:val="24"/>
      <w:lang w:eastAsia="en-US"/>
    </w:rPr>
  </w:style>
  <w:style w:type="character" w:customStyle="1" w:styleId="apple-tab-span">
    <w:name w:val="apple-tab-span"/>
    <w:basedOn w:val="Fontepargpadro"/>
    <w:rsid w:val="00FC4E7A"/>
  </w:style>
  <w:style w:type="character" w:styleId="Refdecomentrio">
    <w:name w:val="annotation reference"/>
    <w:basedOn w:val="Fontepargpadro"/>
    <w:uiPriority w:val="99"/>
    <w:semiHidden/>
    <w:unhideWhenUsed/>
    <w:rsid w:val="00C965CA"/>
    <w:rPr>
      <w:sz w:val="16"/>
      <w:szCs w:val="16"/>
    </w:rPr>
  </w:style>
  <w:style w:type="paragraph" w:styleId="Textodecomentrio">
    <w:name w:val="annotation text"/>
    <w:basedOn w:val="Normal"/>
    <w:link w:val="TextodecomentrioChar"/>
    <w:uiPriority w:val="99"/>
    <w:unhideWhenUsed/>
    <w:rsid w:val="00C965CA"/>
    <w:pPr>
      <w:spacing w:line="240" w:lineRule="auto"/>
    </w:pPr>
    <w:rPr>
      <w:sz w:val="20"/>
      <w:szCs w:val="20"/>
    </w:rPr>
  </w:style>
  <w:style w:type="character" w:customStyle="1" w:styleId="TextodecomentrioChar">
    <w:name w:val="Texto de comentário Char"/>
    <w:basedOn w:val="Fontepargpadro"/>
    <w:link w:val="Textodecomentrio"/>
    <w:uiPriority w:val="99"/>
    <w:rsid w:val="00C965CA"/>
    <w:rPr>
      <w:sz w:val="20"/>
      <w:szCs w:val="20"/>
    </w:rPr>
  </w:style>
  <w:style w:type="paragraph" w:styleId="Assuntodocomentrio">
    <w:name w:val="annotation subject"/>
    <w:basedOn w:val="Textodecomentrio"/>
    <w:next w:val="Textodecomentrio"/>
    <w:link w:val="AssuntodocomentrioChar"/>
    <w:uiPriority w:val="99"/>
    <w:semiHidden/>
    <w:unhideWhenUsed/>
    <w:rsid w:val="00C965CA"/>
    <w:rPr>
      <w:b/>
      <w:bCs/>
    </w:rPr>
  </w:style>
  <w:style w:type="character" w:customStyle="1" w:styleId="AssuntodocomentrioChar">
    <w:name w:val="Assunto do comentário Char"/>
    <w:basedOn w:val="TextodecomentrioChar"/>
    <w:link w:val="Assuntodocomentrio"/>
    <w:uiPriority w:val="99"/>
    <w:semiHidden/>
    <w:rsid w:val="00C965CA"/>
    <w:rPr>
      <w:b/>
      <w:bCs/>
      <w:sz w:val="20"/>
      <w:szCs w:val="20"/>
    </w:rPr>
  </w:style>
  <w:style w:type="character" w:styleId="Hyperlink">
    <w:name w:val="Hyperlink"/>
    <w:basedOn w:val="Fontepargpadro"/>
    <w:uiPriority w:val="99"/>
    <w:unhideWhenUsed/>
    <w:rsid w:val="00181980"/>
    <w:rPr>
      <w:color w:val="F26628" w:themeColor="hyperlink"/>
      <w:u w:val="single"/>
    </w:rPr>
  </w:style>
  <w:style w:type="character" w:styleId="MenoPendente">
    <w:name w:val="Unresolved Mention"/>
    <w:basedOn w:val="Fontepargpadro"/>
    <w:uiPriority w:val="99"/>
    <w:semiHidden/>
    <w:unhideWhenUsed/>
    <w:rsid w:val="00181980"/>
    <w:rPr>
      <w:color w:val="605E5C"/>
      <w:shd w:val="clear" w:color="auto" w:fill="E1DFDD"/>
    </w:rPr>
  </w:style>
  <w:style w:type="paragraph" w:customStyle="1" w:styleId="Nomedaao">
    <w:name w:val="Nome da ação"/>
    <w:basedOn w:val="NormalWeb"/>
    <w:link w:val="NomedaaoChar"/>
    <w:autoRedefine/>
    <w:qFormat/>
    <w:rsid w:val="00985D70"/>
    <w:pPr>
      <w:pBdr>
        <w:top w:val="threeDEngrave" w:sz="24" w:space="1" w:color="DACEB8" w:themeColor="accent1" w:shadow="1"/>
        <w:left w:val="threeDEngrave" w:sz="24" w:space="4" w:color="DACEB8" w:themeColor="accent1" w:shadow="1"/>
        <w:bottom w:val="threeDEmboss" w:sz="24" w:space="1" w:color="DACEB8" w:themeColor="accent1" w:shadow="1"/>
        <w:right w:val="threeDEmboss" w:sz="24" w:space="4" w:color="DACEB8" w:themeColor="accent1" w:shadow="1"/>
      </w:pBdr>
      <w:shd w:val="clear" w:color="auto" w:fill="F7F5F0" w:themeFill="accent1" w:themeFillTint="33"/>
      <w:spacing w:before="0" w:beforeAutospacing="0" w:after="480" w:afterAutospacing="0" w:line="276" w:lineRule="auto"/>
      <w:jc w:val="center"/>
    </w:pPr>
    <w:rPr>
      <w:rFonts w:ascii="Segoe UI" w:hAnsi="Segoe UI" w:cs="Calibri"/>
      <w:b/>
      <w:color w:val="000000"/>
      <w:sz w:val="30"/>
      <w:szCs w:val="26"/>
    </w:rPr>
  </w:style>
  <w:style w:type="character" w:customStyle="1" w:styleId="NormalWebChar">
    <w:name w:val="Normal (Web) Char"/>
    <w:basedOn w:val="Fontepargpadro"/>
    <w:link w:val="NormalWeb"/>
    <w:uiPriority w:val="99"/>
    <w:rsid w:val="00181980"/>
    <w:rPr>
      <w:rFonts w:ascii="Times New Roman" w:eastAsia="Times New Roman" w:hAnsi="Times New Roman" w:cs="Times New Roman"/>
      <w:sz w:val="24"/>
      <w:szCs w:val="24"/>
    </w:rPr>
  </w:style>
  <w:style w:type="character" w:customStyle="1" w:styleId="NomedaaoChar">
    <w:name w:val="Nome da ação Char"/>
    <w:basedOn w:val="NormalWebChar"/>
    <w:link w:val="Nomedaao"/>
    <w:rsid w:val="00985D70"/>
    <w:rPr>
      <w:rFonts w:ascii="Segoe UI" w:eastAsia="Times New Roman" w:hAnsi="Segoe UI" w:cs="Calibri"/>
      <w:b/>
      <w:color w:val="000000"/>
      <w:sz w:val="30"/>
      <w:szCs w:val="24"/>
      <w:shd w:val="clear" w:color="auto" w:fill="F7F5F0" w:themeFill="accent1" w:themeFillTint="33"/>
      <w:lang w:eastAsia="en-US"/>
    </w:rPr>
  </w:style>
  <w:style w:type="character" w:styleId="Forte">
    <w:name w:val="Strong"/>
    <w:basedOn w:val="Fontepargpadro"/>
    <w:uiPriority w:val="22"/>
    <w:qFormat/>
    <w:rsid w:val="003B3F00"/>
    <w:rPr>
      <w:b/>
      <w:bCs/>
    </w:rPr>
  </w:style>
  <w:style w:type="character" w:styleId="nfase">
    <w:name w:val="Emphasis"/>
    <w:basedOn w:val="Fontepargpadro"/>
    <w:uiPriority w:val="20"/>
    <w:rsid w:val="00535CDB"/>
    <w:rPr>
      <w:i/>
      <w:iCs/>
    </w:rPr>
  </w:style>
  <w:style w:type="paragraph" w:customStyle="1" w:styleId="dataassinatura">
    <w:name w:val="dataassinatura"/>
    <w:basedOn w:val="Normal"/>
    <w:rsid w:val="00535CDB"/>
    <w:pPr>
      <w:spacing w:before="100" w:beforeAutospacing="1" w:after="100" w:afterAutospacing="1" w:line="240" w:lineRule="auto"/>
    </w:pPr>
    <w:rPr>
      <w:rFonts w:ascii="Times New Roman" w:eastAsia="Times New Roman" w:hAnsi="Times New Roman" w:cs="Times New Roman"/>
      <w:szCs w:val="24"/>
    </w:rPr>
  </w:style>
  <w:style w:type="paragraph" w:customStyle="1" w:styleId="citacao">
    <w:name w:val="citacao"/>
    <w:basedOn w:val="Normal"/>
    <w:rsid w:val="00535CDB"/>
    <w:pPr>
      <w:spacing w:after="0" w:line="240" w:lineRule="auto"/>
      <w:ind w:left="2268"/>
    </w:pPr>
    <w:rPr>
      <w:rFonts w:ascii="Calibri, sans-serif" w:eastAsiaTheme="minorEastAsia" w:hAnsi="Calibri, sans-serif" w:cs="Times New Roman"/>
      <w:sz w:val="20"/>
      <w:szCs w:val="20"/>
    </w:rPr>
  </w:style>
  <w:style w:type="character" w:customStyle="1" w:styleId="genericinfo">
    <w:name w:val="generic_info"/>
    <w:basedOn w:val="Fontepargpadro"/>
    <w:rsid w:val="00535CDB"/>
  </w:style>
  <w:style w:type="character" w:customStyle="1" w:styleId="Ttulo3Char">
    <w:name w:val="Título 3 Char"/>
    <w:basedOn w:val="Fontepargpadro"/>
    <w:link w:val="Ttulo3"/>
    <w:uiPriority w:val="9"/>
    <w:rsid w:val="000210D6"/>
    <w:rPr>
      <w:b/>
      <w:smallCaps/>
      <w:sz w:val="30"/>
      <w:szCs w:val="28"/>
    </w:rPr>
  </w:style>
  <w:style w:type="table" w:customStyle="1" w:styleId="Tabelacomgrade1">
    <w:name w:val="Tabela com grade1"/>
    <w:basedOn w:val="Tabelanormal"/>
    <w:next w:val="Tabelacomgrade"/>
    <w:uiPriority w:val="39"/>
    <w:rsid w:val="005E03BE"/>
    <w:pPr>
      <w:widowControl/>
      <w:spacing w:before="0" w:after="0" w:line="240" w:lineRule="auto"/>
      <w:ind w:firstLine="0"/>
      <w:jc w:val="left"/>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5E03BE"/>
    <w:pPr>
      <w:widowControl/>
      <w:spacing w:before="0" w:after="0" w:line="240" w:lineRule="auto"/>
      <w:ind w:firstLine="0"/>
      <w:jc w:val="left"/>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3-nfase1">
    <w:name w:val="Grid Table 3 Accent 1"/>
    <w:basedOn w:val="Tabelanormal"/>
    <w:uiPriority w:val="48"/>
    <w:rsid w:val="00507C3A"/>
    <w:pPr>
      <w:spacing w:after="0" w:line="240" w:lineRule="auto"/>
    </w:pPr>
    <w:tblPr>
      <w:tblStyleRowBandSize w:val="1"/>
      <w:tblStyleColBandSize w:val="1"/>
      <w:tblBorders>
        <w:top w:val="single" w:sz="4" w:space="0" w:color="E8E1D4" w:themeColor="accent1" w:themeTint="99"/>
        <w:left w:val="single" w:sz="4" w:space="0" w:color="E8E1D4" w:themeColor="accent1" w:themeTint="99"/>
        <w:bottom w:val="single" w:sz="4" w:space="0" w:color="E8E1D4" w:themeColor="accent1" w:themeTint="99"/>
        <w:right w:val="single" w:sz="4" w:space="0" w:color="E8E1D4" w:themeColor="accent1" w:themeTint="99"/>
        <w:insideH w:val="single" w:sz="4" w:space="0" w:color="E8E1D4" w:themeColor="accent1" w:themeTint="99"/>
        <w:insideV w:val="single" w:sz="4" w:space="0" w:color="E8E1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5F0" w:themeFill="accent1" w:themeFillTint="33"/>
      </w:tcPr>
    </w:tblStylePr>
    <w:tblStylePr w:type="band1Horz">
      <w:tblPr/>
      <w:tcPr>
        <w:shd w:val="clear" w:color="auto" w:fill="F7F5F0" w:themeFill="accent1" w:themeFillTint="33"/>
      </w:tcPr>
    </w:tblStylePr>
    <w:tblStylePr w:type="neCell">
      <w:tblPr/>
      <w:tcPr>
        <w:tcBorders>
          <w:bottom w:val="single" w:sz="4" w:space="0" w:color="E8E1D4" w:themeColor="accent1" w:themeTint="99"/>
        </w:tcBorders>
      </w:tcPr>
    </w:tblStylePr>
    <w:tblStylePr w:type="nwCell">
      <w:tblPr/>
      <w:tcPr>
        <w:tcBorders>
          <w:bottom w:val="single" w:sz="4" w:space="0" w:color="E8E1D4" w:themeColor="accent1" w:themeTint="99"/>
        </w:tcBorders>
      </w:tcPr>
    </w:tblStylePr>
    <w:tblStylePr w:type="seCell">
      <w:tblPr/>
      <w:tcPr>
        <w:tcBorders>
          <w:top w:val="single" w:sz="4" w:space="0" w:color="E8E1D4" w:themeColor="accent1" w:themeTint="99"/>
        </w:tcBorders>
      </w:tcPr>
    </w:tblStylePr>
    <w:tblStylePr w:type="swCell">
      <w:tblPr/>
      <w:tcPr>
        <w:tcBorders>
          <w:top w:val="single" w:sz="4" w:space="0" w:color="E8E1D4" w:themeColor="accent1" w:themeTint="99"/>
        </w:tcBorders>
      </w:tcPr>
    </w:tblStylePr>
  </w:style>
  <w:style w:type="table" w:styleId="TabeladeGrade5Escura-nfase1">
    <w:name w:val="Grid Table 5 Dark Accent 1"/>
    <w:basedOn w:val="Tabelanormal"/>
    <w:uiPriority w:val="50"/>
    <w:rsid w:val="00507C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5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CEB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CEB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CEB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CEB8" w:themeFill="accent1"/>
      </w:tcPr>
    </w:tblStylePr>
    <w:tblStylePr w:type="band1Vert">
      <w:tblPr/>
      <w:tcPr>
        <w:shd w:val="clear" w:color="auto" w:fill="F0EBE2" w:themeFill="accent1" w:themeFillTint="66"/>
      </w:tcPr>
    </w:tblStylePr>
    <w:tblStylePr w:type="band1Horz">
      <w:tblPr/>
      <w:tcPr>
        <w:shd w:val="clear" w:color="auto" w:fill="F0EBE2" w:themeFill="accent1" w:themeFillTint="66"/>
      </w:tcPr>
    </w:tblStylePr>
  </w:style>
  <w:style w:type="table" w:styleId="TabeladeGrade4-nfase1">
    <w:name w:val="Grid Table 4 Accent 1"/>
    <w:basedOn w:val="Tabelanormal"/>
    <w:uiPriority w:val="49"/>
    <w:rsid w:val="00507C3A"/>
    <w:pPr>
      <w:spacing w:after="0" w:line="240" w:lineRule="auto"/>
    </w:pPr>
    <w:tblPr>
      <w:tblStyleRowBandSize w:val="1"/>
      <w:tblStyleColBandSize w:val="1"/>
      <w:tblBorders>
        <w:top w:val="single" w:sz="4" w:space="0" w:color="E8E1D4" w:themeColor="accent1" w:themeTint="99"/>
        <w:left w:val="single" w:sz="4" w:space="0" w:color="E8E1D4" w:themeColor="accent1" w:themeTint="99"/>
        <w:bottom w:val="single" w:sz="4" w:space="0" w:color="E8E1D4" w:themeColor="accent1" w:themeTint="99"/>
        <w:right w:val="single" w:sz="4" w:space="0" w:color="E8E1D4" w:themeColor="accent1" w:themeTint="99"/>
        <w:insideH w:val="single" w:sz="4" w:space="0" w:color="E8E1D4" w:themeColor="accent1" w:themeTint="99"/>
        <w:insideV w:val="single" w:sz="4" w:space="0" w:color="E8E1D4" w:themeColor="accent1" w:themeTint="99"/>
      </w:tblBorders>
    </w:tblPr>
    <w:tblStylePr w:type="firstRow">
      <w:rPr>
        <w:b/>
        <w:bCs/>
        <w:color w:val="FFFFFF" w:themeColor="background1"/>
      </w:rPr>
      <w:tblPr/>
      <w:tcPr>
        <w:tcBorders>
          <w:top w:val="single" w:sz="4" w:space="0" w:color="DACEB8" w:themeColor="accent1"/>
          <w:left w:val="single" w:sz="4" w:space="0" w:color="DACEB8" w:themeColor="accent1"/>
          <w:bottom w:val="single" w:sz="4" w:space="0" w:color="DACEB8" w:themeColor="accent1"/>
          <w:right w:val="single" w:sz="4" w:space="0" w:color="DACEB8" w:themeColor="accent1"/>
          <w:insideH w:val="nil"/>
          <w:insideV w:val="nil"/>
        </w:tcBorders>
        <w:shd w:val="clear" w:color="auto" w:fill="DACEB8" w:themeFill="accent1"/>
      </w:tcPr>
    </w:tblStylePr>
    <w:tblStylePr w:type="lastRow">
      <w:rPr>
        <w:b/>
        <w:bCs/>
      </w:rPr>
      <w:tblPr/>
      <w:tcPr>
        <w:tcBorders>
          <w:top w:val="double" w:sz="4" w:space="0" w:color="DACEB8" w:themeColor="accent1"/>
        </w:tcBorders>
      </w:tcPr>
    </w:tblStylePr>
    <w:tblStylePr w:type="firstCol">
      <w:rPr>
        <w:b/>
        <w:bCs/>
      </w:rPr>
    </w:tblStylePr>
    <w:tblStylePr w:type="lastCol">
      <w:rPr>
        <w:b/>
        <w:bCs/>
      </w:rPr>
    </w:tblStylePr>
    <w:tblStylePr w:type="band1Vert">
      <w:tblPr/>
      <w:tcPr>
        <w:shd w:val="clear" w:color="auto" w:fill="F7F5F0" w:themeFill="accent1" w:themeFillTint="33"/>
      </w:tcPr>
    </w:tblStylePr>
    <w:tblStylePr w:type="band1Horz">
      <w:tblPr/>
      <w:tcPr>
        <w:shd w:val="clear" w:color="auto" w:fill="F7F5F0" w:themeFill="accent1" w:themeFillTint="33"/>
      </w:tcPr>
    </w:tblStylePr>
  </w:style>
  <w:style w:type="paragraph" w:customStyle="1" w:styleId="paragraph">
    <w:name w:val="paragraph"/>
    <w:basedOn w:val="Normal"/>
    <w:rsid w:val="00160F8F"/>
    <w:pPr>
      <w:spacing w:before="100" w:beforeAutospacing="1" w:after="100" w:afterAutospacing="1" w:line="240" w:lineRule="auto"/>
    </w:pPr>
    <w:rPr>
      <w:rFonts w:ascii="Times New Roman" w:eastAsia="Times New Roman" w:hAnsi="Times New Roman" w:cs="Times New Roman"/>
      <w:szCs w:val="24"/>
    </w:rPr>
  </w:style>
  <w:style w:type="paragraph" w:customStyle="1" w:styleId="textonormal">
    <w:name w:val="textonormal"/>
    <w:basedOn w:val="Normal"/>
    <w:rsid w:val="00160F8F"/>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Paleta Raíssa Lobo">
      <a:dk1>
        <a:srgbClr val="0B3940"/>
      </a:dk1>
      <a:lt1>
        <a:sysClr val="window" lastClr="FFFFFF"/>
      </a:lt1>
      <a:dk2>
        <a:srgbClr val="015B6B"/>
      </a:dk2>
      <a:lt2>
        <a:srgbClr val="E7E6E6"/>
      </a:lt2>
      <a:accent1>
        <a:srgbClr val="DACEB8"/>
      </a:accent1>
      <a:accent2>
        <a:srgbClr val="F26628"/>
      </a:accent2>
      <a:accent3>
        <a:srgbClr val="A5A5A5"/>
      </a:accent3>
      <a:accent4>
        <a:srgbClr val="FFC000"/>
      </a:accent4>
      <a:accent5>
        <a:srgbClr val="015B6B"/>
      </a:accent5>
      <a:accent6>
        <a:srgbClr val="015B6B"/>
      </a:accent6>
      <a:hlink>
        <a:srgbClr val="F26628"/>
      </a:hlink>
      <a:folHlink>
        <a:srgbClr val="F2662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Ly/g71ia01u1/3MxvwvM6iD+Q==">CgMxLjA4AHIhMVJDNFMxaDFKUzd4NDdZMnl6LTJOYVZGT1Zvc1JsMWFq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1922</Words>
  <Characters>10750</Characters>
  <Application>Microsoft Office Word</Application>
  <DocSecurity>0</DocSecurity>
  <Lines>202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Raissa</dc:creator>
  <cp:lastModifiedBy>Raissa Lobo</cp:lastModifiedBy>
  <cp:revision>2</cp:revision>
  <dcterms:created xsi:type="dcterms:W3CDTF">2026-06-22T23:38:00Z</dcterms:created>
  <dcterms:modified xsi:type="dcterms:W3CDTF">2026-06-22T23:38:00Z</dcterms:modified>
</cp:coreProperties>
</file>