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53" w:rsidRDefault="00AA3153"/>
    <w:p w:rsidR="00AA3153" w:rsidRDefault="00AA3153" w:rsidP="00AA3153">
      <w:pPr>
        <w:jc w:val="center"/>
      </w:pPr>
      <w:r>
        <w:t>NOME DA LINHA DE CUIDADO</w:t>
      </w:r>
    </w:p>
    <w:p w:rsidR="00AA3153" w:rsidRDefault="00AA3153"/>
    <w:p w:rsidR="00AA3153" w:rsidRDefault="00AA3153"/>
    <w:tbl>
      <w:tblPr>
        <w:tblStyle w:val="Tabelacomgrade"/>
        <w:tblW w:w="0" w:type="auto"/>
        <w:tblLook w:val="04A0"/>
      </w:tblPr>
      <w:tblGrid>
        <w:gridCol w:w="10220"/>
      </w:tblGrid>
      <w:tr w:rsidR="00246CFB" w:rsidRPr="00F7627E" w:rsidTr="00246CFB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bookmarkStart w:id="0" w:name="_GoBack"/>
            <w:bookmarkEnd w:id="0"/>
            <w:r w:rsidRPr="00AA3153">
              <w:t>Nome da atividade:</w:t>
            </w:r>
            <w:r w:rsidR="002B6DEC" w:rsidRPr="00AA3153">
              <w:rPr>
                <w:color w:val="0070C0"/>
              </w:rPr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b/>
                <w:color w:val="0070C0"/>
              </w:rPr>
              <w:t>orientação de preenchimento</w:t>
            </w:r>
            <w:r w:rsidRPr="00AA3153">
              <w:rPr>
                <w:color w:val="0070C0"/>
              </w:rPr>
              <w:t>: usar o nome oficial da atividade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B6DEC" w:rsidRPr="00F7627E" w:rsidTr="00246CFB">
        <w:tc>
          <w:tcPr>
            <w:tcW w:w="10220" w:type="dxa"/>
          </w:tcPr>
          <w:p w:rsidR="00C267AD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t xml:space="preserve">Tipo de atividade: </w:t>
            </w:r>
          </w:p>
          <w:p w:rsidR="002B6DEC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color w:val="0070C0"/>
              </w:rPr>
              <w:t xml:space="preserve">orientação de preenchimento: </w:t>
            </w:r>
            <w:r w:rsidRPr="00AA3153">
              <w:rPr>
                <w:color w:val="0070C0"/>
              </w:rPr>
              <w:t>é pesquisa / extensão / graduação / outro</w:t>
            </w:r>
          </w:p>
          <w:p w:rsidR="002B6DEC" w:rsidRPr="00AA3153" w:rsidRDefault="002B6DEC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C267AD" w:rsidRPr="00AA3153" w:rsidRDefault="00981DBC" w:rsidP="00AA3153">
            <w:pPr>
              <w:spacing w:before="120" w:after="120" w:line="360" w:lineRule="auto"/>
              <w:jc w:val="both"/>
            </w:pPr>
            <w:r w:rsidRPr="00AA3153">
              <w:t>Responsável</w:t>
            </w:r>
            <w:r w:rsidR="00246CFB" w:rsidRPr="00AA3153">
              <w:t>:</w:t>
            </w:r>
            <w:r w:rsidR="002B6DEC" w:rsidRPr="00AA3153"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color w:val="0070C0"/>
              </w:rPr>
              <w:t xml:space="preserve">orientação de preenchimento: </w:t>
            </w:r>
            <w:r w:rsidRPr="00AA3153">
              <w:rPr>
                <w:color w:val="0070C0"/>
              </w:rPr>
              <w:t>nome do coordenador, supervisor, proponente, preceptor.</w:t>
            </w:r>
          </w:p>
          <w:p w:rsidR="002B6DEC" w:rsidRPr="00AA3153" w:rsidRDefault="002B6DEC" w:rsidP="00AA3153">
            <w:pPr>
              <w:spacing w:before="120" w:after="120" w:line="360" w:lineRule="auto"/>
              <w:jc w:val="both"/>
            </w:pPr>
          </w:p>
          <w:p w:rsidR="00C267AD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t xml:space="preserve">Equipe envolvida: </w:t>
            </w:r>
          </w:p>
          <w:p w:rsidR="00C267AD" w:rsidRPr="00AA3153" w:rsidRDefault="002B6DEC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b/>
                <w:color w:val="0070C0"/>
              </w:rPr>
              <w:t xml:space="preserve">orientação de preenchimento: </w:t>
            </w:r>
            <w:r w:rsidR="00C267AD" w:rsidRPr="00AA3153">
              <w:rPr>
                <w:color w:val="0070C0"/>
              </w:rPr>
              <w:t xml:space="preserve">quantidade </w:t>
            </w:r>
            <w:r w:rsidRPr="00AA3153">
              <w:rPr>
                <w:color w:val="0070C0"/>
              </w:rPr>
              <w:t xml:space="preserve">de todos os colaboradores </w:t>
            </w:r>
            <w:r w:rsidR="00C267AD" w:rsidRPr="00AA3153">
              <w:rPr>
                <w:color w:val="0070C0"/>
              </w:rPr>
              <w:t>por categorias: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alunos de graduação </w:t>
            </w:r>
            <w:r w:rsidRPr="00AA3153">
              <w:rPr>
                <w:color w:val="0070C0"/>
              </w:rPr>
              <w:t>envolvidos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pós-graduação</w:t>
            </w:r>
            <w:r w:rsidRPr="00AA3153">
              <w:rPr>
                <w:color w:val="0070C0"/>
              </w:rPr>
              <w:t xml:space="preserve"> envolvidos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 técnicos administrativos envolvidos (colocar os nomes e profissão)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colaboradores externos</w:t>
            </w:r>
            <w:r w:rsidRPr="00AA3153">
              <w:rPr>
                <w:color w:val="0070C0"/>
              </w:rPr>
              <w:t xml:space="preserve"> envolvidos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bolsistas</w:t>
            </w:r>
            <w:r w:rsidRPr="00AA3153">
              <w:rPr>
                <w:color w:val="0070C0"/>
              </w:rPr>
              <w:t xml:space="preserve"> (indicar o tipo: extensão, atividade, treinamento ou outro) envolvido</w:t>
            </w:r>
          </w:p>
          <w:p w:rsidR="002B6DEC" w:rsidRPr="00AA3153" w:rsidRDefault="00C267AD" w:rsidP="00AA3153">
            <w:pPr>
              <w:spacing w:before="120" w:after="120" w:line="360" w:lineRule="auto"/>
              <w:jc w:val="both"/>
            </w:pPr>
            <w:r w:rsidRPr="00AA3153">
              <w:rPr>
                <w:color w:val="0070C0"/>
              </w:rPr>
              <w:t>O</w:t>
            </w:r>
            <w:r w:rsidR="002B6DEC" w:rsidRPr="00AA3153">
              <w:rPr>
                <w:color w:val="0070C0"/>
              </w:rPr>
              <w:t>utros</w:t>
            </w:r>
          </w:p>
          <w:p w:rsidR="00246CFB" w:rsidRPr="00AA3153" w:rsidRDefault="00246CFB" w:rsidP="00AA3153">
            <w:pPr>
              <w:spacing w:before="120" w:after="120" w:line="360" w:lineRule="auto"/>
              <w:jc w:val="both"/>
            </w:pP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lastRenderedPageBreak/>
              <w:t>Período em que é desenvolvida:</w:t>
            </w:r>
            <w:r w:rsidR="002B6DEC" w:rsidRPr="00AA3153"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  <w:rPr>
                <w:color w:val="FF0000"/>
              </w:rPr>
            </w:pPr>
            <w:r w:rsidRPr="00AA3153">
              <w:rPr>
                <w:b/>
                <w:color w:val="0070C0"/>
              </w:rPr>
              <w:t>orientação de preenchimento:</w:t>
            </w:r>
            <w:r w:rsidRPr="00AA3153">
              <w:rPr>
                <w:color w:val="0070C0"/>
              </w:rPr>
              <w:t xml:space="preserve"> colocar freqüência (X/sem); período </w:t>
            </w:r>
            <w:r w:rsidR="00C267AD" w:rsidRPr="00AA3153">
              <w:rPr>
                <w:color w:val="0070C0"/>
              </w:rPr>
              <w:t xml:space="preserve">no ano </w:t>
            </w:r>
            <w:r w:rsidRPr="00AA3153">
              <w:rPr>
                <w:color w:val="0070C0"/>
              </w:rPr>
              <w:t>(do mês X ao mês Y); dia(s) da semana; horário(s).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t>Público Alvo:</w:t>
            </w:r>
            <w:r w:rsidR="002B6DEC" w:rsidRPr="00AA3153"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color w:val="0070C0"/>
              </w:rPr>
              <w:t>orientação de preenchimento:</w:t>
            </w:r>
            <w:r w:rsidRPr="00AA3153">
              <w:rPr>
                <w:color w:val="0070C0"/>
              </w:rPr>
              <w:t xml:space="preserve"> informações gerais sobre quem vai ser atendido. Não é necessário um detalhament</w:t>
            </w:r>
            <w:r w:rsidR="00B63C38" w:rsidRPr="00AA3153">
              <w:rPr>
                <w:color w:val="0070C0"/>
              </w:rPr>
              <w:t>o como nos critérios de inscrição</w:t>
            </w:r>
            <w:r w:rsidRPr="00AA3153">
              <w:rPr>
                <w:color w:val="0070C0"/>
              </w:rPr>
              <w:t>.</w:t>
            </w:r>
            <w:r w:rsidR="00C267AD" w:rsidRPr="00AA3153">
              <w:rPr>
                <w:color w:val="0070C0"/>
              </w:rPr>
              <w:t xml:space="preserve"> Inserir aqui a relação dos CIDs.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246CFB" w:rsidRPr="00AA3153" w:rsidRDefault="00246CFB" w:rsidP="00AA3153">
            <w:pPr>
              <w:spacing w:before="120" w:after="120" w:line="360" w:lineRule="auto"/>
              <w:jc w:val="both"/>
              <w:rPr>
                <w:b/>
              </w:rPr>
            </w:pPr>
            <w:r w:rsidRPr="00AA3153">
              <w:rPr>
                <w:b/>
              </w:rPr>
              <w:t>Critérios de Inscrição:</w:t>
            </w:r>
          </w:p>
          <w:p w:rsidR="00246CFB" w:rsidRPr="00AA3153" w:rsidRDefault="00246CFB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b/>
                <w:u w:val="single"/>
              </w:rPr>
              <w:t>Entrada:</w:t>
            </w:r>
            <w:r w:rsidR="00B63C38" w:rsidRPr="00AA3153">
              <w:t xml:space="preserve"> </w:t>
            </w:r>
            <w:r w:rsidR="00B63C38" w:rsidRPr="00AA3153">
              <w:rPr>
                <w:b/>
                <w:color w:val="0070C0"/>
              </w:rPr>
              <w:t xml:space="preserve">orientação de preenchimento: </w:t>
            </w:r>
            <w:r w:rsidR="00B63C38" w:rsidRPr="00AA3153">
              <w:rPr>
                <w:color w:val="0070C0"/>
              </w:rPr>
              <w:t xml:space="preserve">descrever os critérios de inscrição na ação de maneira mais detalhada que no público-alvo. </w:t>
            </w:r>
            <w:r w:rsidR="008207E4" w:rsidRPr="00AA3153">
              <w:rPr>
                <w:color w:val="0070C0"/>
              </w:rPr>
              <w:t>Lembrando que estes critérios deverão ser norteado</w:t>
            </w:r>
            <w:r w:rsidR="00C267AD" w:rsidRPr="00AA3153">
              <w:rPr>
                <w:color w:val="0070C0"/>
              </w:rPr>
              <w:t>re</w:t>
            </w:r>
            <w:r w:rsidR="008207E4" w:rsidRPr="00AA3153">
              <w:rPr>
                <w:color w:val="0070C0"/>
              </w:rPr>
              <w:t>s para</w:t>
            </w:r>
            <w:r w:rsidR="00C267AD" w:rsidRPr="00AA3153">
              <w:rPr>
                <w:color w:val="0070C0"/>
              </w:rPr>
              <w:t xml:space="preserve"> que</w:t>
            </w:r>
            <w:r w:rsidR="008207E4" w:rsidRPr="00AA3153">
              <w:rPr>
                <w:color w:val="0070C0"/>
              </w:rPr>
              <w:t xml:space="preserve"> profissionais de saúde possam reconhecer qual é a real população atendida na ação.</w:t>
            </w:r>
          </w:p>
          <w:p w:rsidR="008207E4" w:rsidRPr="00AA3153" w:rsidRDefault="008207E4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</w:p>
          <w:p w:rsidR="00C420FA" w:rsidRPr="00AA3153" w:rsidRDefault="008207E4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IMPORTANTE:    </w:t>
            </w:r>
          </w:p>
          <w:p w:rsidR="008207E4" w:rsidRPr="00AA3153" w:rsidRDefault="00C420F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                             </w:t>
            </w:r>
            <w:r w:rsidR="008207E4" w:rsidRPr="00AA3153">
              <w:rPr>
                <w:color w:val="0070C0"/>
              </w:rPr>
              <w:t xml:space="preserve">1) </w:t>
            </w:r>
            <w:r w:rsidR="00C267AD" w:rsidRPr="00AA3153">
              <w:rPr>
                <w:b/>
                <w:i/>
                <w:color w:val="0070C0"/>
                <w:u w:val="single"/>
              </w:rPr>
              <w:t>PRIORIDADES:</w:t>
            </w:r>
            <w:r w:rsidR="00C267AD" w:rsidRPr="00AA3153">
              <w:rPr>
                <w:color w:val="0070C0"/>
              </w:rPr>
              <w:t xml:space="preserve"> </w:t>
            </w:r>
            <w:r w:rsidR="008207E4" w:rsidRPr="00AA3153">
              <w:rPr>
                <w:color w:val="0070C0"/>
              </w:rPr>
              <w:t xml:space="preserve">apontar as </w:t>
            </w:r>
            <w:r w:rsidR="00C267AD" w:rsidRPr="00AA3153">
              <w:rPr>
                <w:color w:val="0070C0"/>
              </w:rPr>
              <w:t xml:space="preserve">prioridades </w:t>
            </w:r>
            <w:r w:rsidR="008207E4" w:rsidRPr="00AA3153">
              <w:rPr>
                <w:color w:val="0070C0"/>
              </w:rPr>
              <w:t>para entrada na ação.</w:t>
            </w:r>
            <w:r w:rsidR="00263FED" w:rsidRPr="00AA3153">
              <w:rPr>
                <w:color w:val="0070C0"/>
              </w:rPr>
              <w:t xml:space="preserve"> Algumas áreas discriminaram porcentagem de vagas por afecção</w:t>
            </w:r>
            <w:r w:rsidRPr="00AA3153">
              <w:rPr>
                <w:color w:val="0070C0"/>
              </w:rPr>
              <w:t xml:space="preserve">. Ex: 30% para demência; 25% para déficit de equilíbrio e mobilidade; 25% para déficit de funcionalidade; 10% dor; 10% fragilidade. </w:t>
            </w:r>
            <w:r w:rsidRPr="00AA3153">
              <w:rPr>
                <w:b/>
                <w:i/>
                <w:color w:val="0070C0"/>
              </w:rPr>
              <w:t>OBS: quem não trabalha com esse tipo de distribuição por porcentagem, não precisa colocar</w:t>
            </w:r>
            <w:r w:rsidRPr="00AA3153">
              <w:rPr>
                <w:color w:val="0070C0"/>
              </w:rPr>
              <w:t>.</w:t>
            </w:r>
          </w:p>
          <w:p w:rsidR="00C420FA" w:rsidRPr="00AA3153" w:rsidRDefault="00C420F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</w:p>
          <w:p w:rsidR="008207E4" w:rsidRPr="00AA3153" w:rsidRDefault="008207E4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                             2) </w:t>
            </w:r>
            <w:r w:rsidR="00C267AD" w:rsidRPr="00AA3153">
              <w:rPr>
                <w:color w:val="0070C0"/>
              </w:rPr>
              <w:t xml:space="preserve"> </w:t>
            </w:r>
            <w:r w:rsidR="00C267AD" w:rsidRPr="00AA3153">
              <w:rPr>
                <w:b/>
                <w:i/>
                <w:color w:val="0070C0"/>
                <w:u w:val="single"/>
              </w:rPr>
              <w:t>NÃO SERÃO INSCRITOS</w:t>
            </w:r>
            <w:r w:rsidR="00C267AD" w:rsidRPr="00AA3153">
              <w:rPr>
                <w:color w:val="0070C0"/>
              </w:rPr>
              <w:t xml:space="preserve">: </w:t>
            </w:r>
            <w:r w:rsidRPr="00AA3153">
              <w:rPr>
                <w:color w:val="0070C0"/>
              </w:rPr>
              <w:t>apontar os casos que NÃO serão inscritos.</w:t>
            </w:r>
            <w:r w:rsidR="00C267AD" w:rsidRPr="00AA3153">
              <w:rPr>
                <w:color w:val="0070C0"/>
              </w:rPr>
              <w:t xml:space="preserve"> Lembrar daqueles casos que podem gerar dúvidas, principalmente em profissionais de outra especialidade ou com outra formação.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u w:val="single"/>
              </w:rPr>
              <w:lastRenderedPageBreak/>
              <w:t>Permanência:</w:t>
            </w:r>
            <w:r w:rsidR="008207E4" w:rsidRPr="00AA3153">
              <w:t xml:space="preserve"> </w:t>
            </w:r>
          </w:p>
          <w:p w:rsidR="00B970DD" w:rsidRPr="00AA3153" w:rsidRDefault="008207E4" w:rsidP="00AA3153">
            <w:pPr>
              <w:spacing w:before="120" w:after="120" w:line="360" w:lineRule="auto"/>
              <w:jc w:val="both"/>
              <w:rPr>
                <w:b/>
                <w:color w:val="0070C0"/>
              </w:rPr>
            </w:pPr>
            <w:r w:rsidRPr="00AA3153">
              <w:rPr>
                <w:b/>
                <w:color w:val="0070C0"/>
              </w:rPr>
              <w:t xml:space="preserve">orientação de preenchimento: </w:t>
            </w:r>
            <w:r w:rsidR="00C267AD" w:rsidRPr="00AA3153">
              <w:rPr>
                <w:color w:val="0070C0"/>
              </w:rPr>
              <w:t>abaixo seguem sugestões que p</w:t>
            </w:r>
            <w:r w:rsidR="003D39DA" w:rsidRPr="00AA3153">
              <w:rPr>
                <w:color w:val="0070C0"/>
              </w:rPr>
              <w:t xml:space="preserve">odem servir de exemplos para serem pensados e definidos os critérios de </w:t>
            </w:r>
            <w:r w:rsidR="00C267AD" w:rsidRPr="00AA3153">
              <w:rPr>
                <w:color w:val="0070C0"/>
              </w:rPr>
              <w:t>permanência</w:t>
            </w:r>
            <w:r w:rsidR="003D39DA" w:rsidRPr="00AA3153">
              <w:rPr>
                <w:color w:val="0070C0"/>
              </w:rPr>
              <w:t>.</w:t>
            </w:r>
            <w:r w:rsidR="00C267AD" w:rsidRPr="00AA3153">
              <w:rPr>
                <w:color w:val="0070C0"/>
              </w:rPr>
              <w:t xml:space="preserve"> É possível que o responsável identifique outros que podem ser incluídos neste espaço.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períodos fixos ( há ações que programam atendimentos por 3 meses, 6 meses para determinados casos);</w:t>
            </w:r>
          </w:p>
          <w:p w:rsidR="003D39DA" w:rsidRPr="00AA3153" w:rsidRDefault="003D39D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até atingir determinada idade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usuário que tenha garantia de transporte;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usuário cujo familiar compareça e se co-responsabilize pelo cuidado quando solicitado;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percepção de evolução/ganhos adquiridos com o plano terapêutico realizado na USE;</w:t>
            </w:r>
          </w:p>
          <w:p w:rsidR="003D39DA" w:rsidRPr="00AA3153" w:rsidRDefault="003D39D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comprometimento do usuário com o processo terapêutico (é importante dizer o que é considerado comprometimento)</w:t>
            </w:r>
          </w:p>
          <w:p w:rsidR="00D62CDA" w:rsidRPr="00AA3153" w:rsidRDefault="00B970DD" w:rsidP="00AA3153">
            <w:pPr>
              <w:spacing w:before="120" w:after="120" w:line="360" w:lineRule="auto"/>
              <w:jc w:val="both"/>
              <w:rPr>
                <w:u w:val="single"/>
              </w:rPr>
            </w:pPr>
            <w:r w:rsidRPr="00AA3153">
              <w:rPr>
                <w:b/>
                <w:color w:val="0070C0"/>
              </w:rPr>
              <w:t xml:space="preserve">- </w:t>
            </w:r>
            <w:r w:rsidR="00263FED" w:rsidRPr="00AA3153">
              <w:rPr>
                <w:color w:val="0070C0"/>
              </w:rPr>
              <w:t>lembrar dos atrasos (no caso de atraso, como será conduzida a situação – serão tolerados atrasos de X minutos para atender; atrasos superiores aos minutos tolerados serão considerados faltas?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  <w:rPr>
                <w:b/>
                <w:u w:val="single"/>
              </w:rPr>
            </w:pPr>
          </w:p>
          <w:p w:rsidR="00D62CDA" w:rsidRPr="00AA3153" w:rsidRDefault="00D62CDA" w:rsidP="00AA3153">
            <w:pPr>
              <w:spacing w:before="120" w:after="120" w:line="360" w:lineRule="auto"/>
              <w:jc w:val="both"/>
              <w:rPr>
                <w:b/>
                <w:u w:val="single"/>
              </w:rPr>
            </w:pPr>
          </w:p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u w:val="single"/>
              </w:rPr>
              <w:t>Saída:</w:t>
            </w:r>
            <w:r w:rsidR="008207E4" w:rsidRPr="00AA3153">
              <w:t xml:space="preserve"> </w:t>
            </w:r>
          </w:p>
          <w:p w:rsidR="00C267AD" w:rsidRPr="00AA3153" w:rsidRDefault="008207E4" w:rsidP="00AA3153">
            <w:pPr>
              <w:spacing w:before="120" w:after="120" w:line="360" w:lineRule="auto"/>
              <w:jc w:val="both"/>
              <w:rPr>
                <w:b/>
                <w:color w:val="0070C0"/>
              </w:rPr>
            </w:pPr>
            <w:r w:rsidRPr="00AA3153">
              <w:rPr>
                <w:b/>
                <w:color w:val="0070C0"/>
              </w:rPr>
              <w:t>orientação de preenchimento:</w:t>
            </w:r>
            <w:r w:rsidR="00256D3D" w:rsidRPr="00AA3153">
              <w:rPr>
                <w:b/>
                <w:color w:val="0070C0"/>
              </w:rPr>
              <w:t xml:space="preserve"> </w:t>
            </w:r>
            <w:r w:rsidR="00A621DF" w:rsidRPr="00AA3153">
              <w:rPr>
                <w:color w:val="0070C0"/>
              </w:rPr>
              <w:t xml:space="preserve">abaixo seguem </w:t>
            </w:r>
            <w:r w:rsidR="00C267AD" w:rsidRPr="00AA3153">
              <w:rPr>
                <w:color w:val="0070C0"/>
              </w:rPr>
              <w:t>sugestões que podem servir de exemplos para serem pensados e definidos os critérios de permanência. É possível que o responsável identifique outros que podem ser incluídos neste espaço.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não evolução do quadro após X reavalições no período de X meses;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atrasos de X minutos serão permitidos, acima disso serão considerados faltas e o usuários não será atendido. (lembro aqui que a justificativa para não atender é que dependendo da ação é necessário um mínimo de tempo para poder aplicar a técnica necessária com o usuário);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lastRenderedPageBreak/>
              <w:t>- não comprometimento do usuário com seu auto</w:t>
            </w:r>
            <w:r w:rsidR="00C267AD" w:rsidRPr="00AA3153">
              <w:rPr>
                <w:color w:val="0070C0"/>
              </w:rPr>
              <w:t xml:space="preserve"> </w:t>
            </w:r>
            <w:r w:rsidRPr="00AA3153">
              <w:rPr>
                <w:color w:val="0070C0"/>
              </w:rPr>
              <w:t>cuidado verificado por ____ 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não comprometimento do familiar com o cuidado verificado por ____;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   Obs: esse verificado por é para nortear como o profissional de cada ação avalia e percebe o comprometimento</w:t>
            </w:r>
            <w:r w:rsidR="002D66F1" w:rsidRPr="00AA3153">
              <w:rPr>
                <w:color w:val="0070C0"/>
              </w:rPr>
              <w:t>.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meta terapêutica alcançada mediante avaliação X (questionários, exames, etc);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atingiu X idade;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usuário com afecções crônicas serão atendidos em ciclos de cuidado (descreve o ciclo brevemente);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atendimento de caráter educativo com tempo para término previsto (2 sessões ou 2 meses, por ex.);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alte</w:t>
            </w:r>
            <w:r w:rsidR="00C267AD" w:rsidRPr="00AA3153">
              <w:rPr>
                <w:color w:val="0070C0"/>
              </w:rPr>
              <w:t>ração do quadro clínico (ex: ev</w:t>
            </w:r>
            <w:r w:rsidRPr="00AA3153">
              <w:rPr>
                <w:color w:val="0070C0"/>
              </w:rPr>
              <w:t>olução de estágio da doença, perdas funcionais,  aquisição de dificuldades outras que limitam a participação (discriminar quais);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apresentar atitudes durante o atendimento que coloquem em risco sua saúde e segurança;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desistência formalizada da ação.</w:t>
            </w:r>
          </w:p>
          <w:p w:rsidR="00246CFB" w:rsidRPr="00AA3153" w:rsidRDefault="00A621DF" w:rsidP="00AA3153">
            <w:pPr>
              <w:spacing w:before="120" w:after="120" w:line="360" w:lineRule="auto"/>
              <w:jc w:val="both"/>
              <w:rPr>
                <w:color w:val="548DD4" w:themeColor="text2" w:themeTint="99"/>
                <w:u w:val="single"/>
              </w:rPr>
            </w:pPr>
            <w:r w:rsidRPr="00AA3153">
              <w:rPr>
                <w:color w:val="548DD4" w:themeColor="text2" w:themeTint="99"/>
              </w:rPr>
              <w:t>- número de faltas não justificadas</w:t>
            </w:r>
            <w:r w:rsidR="00C267AD" w:rsidRPr="00AA3153">
              <w:rPr>
                <w:color w:val="548DD4" w:themeColor="text2" w:themeTint="99"/>
              </w:rPr>
              <w:t>, considerando que a não continuidade pode comprometer os resultados da inte</w:t>
            </w:r>
            <w:r w:rsidR="00AA3153">
              <w:rPr>
                <w:color w:val="548DD4" w:themeColor="text2" w:themeTint="99"/>
              </w:rPr>
              <w:t>r</w:t>
            </w:r>
            <w:r w:rsidR="00C267AD" w:rsidRPr="00AA3153">
              <w:rPr>
                <w:color w:val="548DD4" w:themeColor="text2" w:themeTint="99"/>
              </w:rPr>
              <w:t>venção.</w:t>
            </w:r>
          </w:p>
          <w:p w:rsidR="00246CFB" w:rsidRPr="00AA3153" w:rsidRDefault="00246CFB" w:rsidP="00AA3153">
            <w:pPr>
              <w:spacing w:before="120" w:after="120" w:line="360" w:lineRule="auto"/>
              <w:jc w:val="both"/>
            </w:pP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763DB6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  <w:rPr>
                <w:b/>
              </w:rPr>
            </w:pPr>
            <w:r w:rsidRPr="00AA3153">
              <w:rPr>
                <w:b/>
              </w:rPr>
              <w:lastRenderedPageBreak/>
              <w:t>Pergunta</w:t>
            </w:r>
            <w:r w:rsidR="00F623C7" w:rsidRPr="00AA3153">
              <w:rPr>
                <w:b/>
              </w:rPr>
              <w:t>/Informação</w:t>
            </w:r>
            <w:r w:rsidRPr="00AA3153">
              <w:rPr>
                <w:b/>
              </w:rPr>
              <w:t xml:space="preserve"> </w:t>
            </w:r>
            <w:r w:rsidR="00F623C7" w:rsidRPr="00AA3153">
              <w:rPr>
                <w:b/>
              </w:rPr>
              <w:t xml:space="preserve">de </w:t>
            </w:r>
            <w:r w:rsidRPr="00AA3153">
              <w:rPr>
                <w:b/>
              </w:rPr>
              <w:t xml:space="preserve">rastreio para </w:t>
            </w:r>
            <w:r w:rsidR="00006EF1" w:rsidRPr="00AA3153">
              <w:rPr>
                <w:b/>
              </w:rPr>
              <w:t>inscrição n</w:t>
            </w:r>
            <w:r w:rsidRPr="00AA3153">
              <w:rPr>
                <w:b/>
              </w:rPr>
              <w:t>o acolhimento:</w:t>
            </w:r>
            <w:r w:rsidR="00006EF1" w:rsidRPr="00AA3153">
              <w:rPr>
                <w:b/>
              </w:rPr>
              <w:t xml:space="preserve"> </w:t>
            </w:r>
          </w:p>
          <w:p w:rsidR="00D62CDA" w:rsidRPr="00AA3153" w:rsidRDefault="00006EF1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color w:val="0070C0"/>
              </w:rPr>
              <w:t xml:space="preserve">orientação de preenchimento: </w:t>
            </w:r>
            <w:r w:rsidRPr="00AA3153">
              <w:rPr>
                <w:color w:val="0070C0"/>
              </w:rPr>
              <w:t xml:space="preserve">essas informações vão nortear </w:t>
            </w:r>
            <w:r w:rsidR="00C267AD" w:rsidRPr="00AA3153">
              <w:rPr>
                <w:color w:val="0070C0"/>
              </w:rPr>
              <w:t xml:space="preserve">a equipe acolhedora no momento de decidir se a queixa do usuário encaixa no perfil do público alvo. </w:t>
            </w:r>
            <w:r w:rsidRPr="00AA3153">
              <w:rPr>
                <w:color w:val="0070C0"/>
              </w:rPr>
              <w:t>Portanto, é necessário que sejam perguntas simples como idade, agudo ou crônico (tempo de acomentimento), pós-operatório, etc.</w:t>
            </w:r>
            <w:r w:rsidR="00AA3153" w:rsidRPr="00AA3153">
              <w:rPr>
                <w:color w:val="0070C0"/>
              </w:rPr>
              <w:t xml:space="preserve"> e que deixem claro para o profissional da equipe o que é essencial para o usuário poder ser inscrito na sua ação. Lembramos aqui que quem faz todas as inscrições na USE é a equipe acolhedora.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</w:tbl>
    <w:p w:rsidR="0067399F" w:rsidRPr="00F7627E" w:rsidRDefault="0067399F" w:rsidP="00821828">
      <w:pPr>
        <w:jc w:val="both"/>
        <w:rPr>
          <w:rFonts w:ascii="Arial" w:hAnsi="Arial" w:cs="Arial"/>
          <w:sz w:val="22"/>
          <w:szCs w:val="22"/>
        </w:rPr>
      </w:pPr>
    </w:p>
    <w:sectPr w:rsidR="0067399F" w:rsidRPr="00F7627E" w:rsidSect="006D7494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E" w:rsidRDefault="0000000E">
      <w:r>
        <w:separator/>
      </w:r>
    </w:p>
  </w:endnote>
  <w:endnote w:type="continuationSeparator" w:id="1">
    <w:p w:rsidR="0000000E" w:rsidRDefault="00000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E" w:rsidRDefault="0000000E">
      <w:r>
        <w:separator/>
      </w:r>
    </w:p>
  </w:footnote>
  <w:footnote w:type="continuationSeparator" w:id="1">
    <w:p w:rsidR="0000000E" w:rsidRDefault="00000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7FB" w:rsidRPr="00BE1B8C" w:rsidRDefault="00B4730D" w:rsidP="0075190C">
    <w:pPr>
      <w:pStyle w:val="Cabealho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193040</wp:posOffset>
          </wp:positionV>
          <wp:extent cx="800100" cy="590550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A17FB" w:rsidRPr="00BE1B8C">
      <w:rPr>
        <w:rFonts w:ascii="Arial" w:hAnsi="Arial" w:cs="Arial"/>
        <w:sz w:val="28"/>
        <w:szCs w:val="28"/>
      </w:rPr>
      <w:t>Universidade Federal de São Carlos</w:t>
    </w:r>
  </w:p>
  <w:p w:rsidR="005A17FB" w:rsidRPr="00BE1B8C" w:rsidRDefault="00B4730D" w:rsidP="0075190C">
    <w:pPr>
      <w:pStyle w:val="Cabealho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26670</wp:posOffset>
          </wp:positionV>
          <wp:extent cx="914400" cy="588010"/>
          <wp:effectExtent l="19050" t="0" r="0" b="0"/>
          <wp:wrapNone/>
          <wp:docPr id="2" name="Imagem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A17FB" w:rsidRPr="00BE1B8C">
      <w:rPr>
        <w:rFonts w:ascii="Arial" w:hAnsi="Arial" w:cs="Arial"/>
      </w:rPr>
      <w:t>Unidade Saúde Escola (USE)</w:t>
    </w:r>
  </w:p>
  <w:p w:rsidR="005A17FB" w:rsidRPr="00BE1B8C" w:rsidRDefault="005A17FB" w:rsidP="0075190C">
    <w:pPr>
      <w:pStyle w:val="Cabealho"/>
      <w:jc w:val="center"/>
      <w:rPr>
        <w:rFonts w:ascii="Arial" w:hAnsi="Arial" w:cs="Arial"/>
      </w:rPr>
    </w:pPr>
    <w:r w:rsidRPr="00BE1B8C">
      <w:rPr>
        <w:rFonts w:ascii="Arial" w:hAnsi="Arial" w:cs="Arial"/>
        <w:sz w:val="20"/>
      </w:rPr>
      <w:t>Rodovia Washington Luis, km 235 – CP 676</w:t>
    </w:r>
  </w:p>
  <w:p w:rsidR="005A17FB" w:rsidRPr="00BE1B8C" w:rsidRDefault="005A17FB" w:rsidP="0075190C">
    <w:pPr>
      <w:pStyle w:val="Cabealho"/>
      <w:jc w:val="center"/>
      <w:rPr>
        <w:rFonts w:ascii="Arial" w:hAnsi="Arial" w:cs="Arial"/>
        <w:sz w:val="20"/>
      </w:rPr>
    </w:pPr>
    <w:r w:rsidRPr="00BE1B8C">
      <w:rPr>
        <w:rFonts w:ascii="Arial" w:hAnsi="Arial" w:cs="Arial"/>
        <w:sz w:val="20"/>
      </w:rPr>
      <w:t>13565-905 – São Carlos – SP</w:t>
    </w:r>
  </w:p>
  <w:p w:rsidR="005A17FB" w:rsidRPr="00BE1B8C" w:rsidRDefault="005A17FB" w:rsidP="0075190C">
    <w:pPr>
      <w:pStyle w:val="Cabealho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Fone (16) 3351 </w:t>
    </w:r>
    <w:r w:rsidRPr="00BE1B8C">
      <w:rPr>
        <w:rFonts w:ascii="Arial" w:hAnsi="Arial" w:cs="Arial"/>
        <w:sz w:val="20"/>
      </w:rPr>
      <w:t xml:space="preserve">8645 – e-mail: </w:t>
    </w:r>
    <w:hyperlink r:id="rId3" w:history="1">
      <w:r w:rsidRPr="00C44AF0">
        <w:rPr>
          <w:rStyle w:val="Hyperlink"/>
          <w:rFonts w:ascii="Arial" w:hAnsi="Arial" w:cs="Arial"/>
          <w:sz w:val="20"/>
        </w:rPr>
        <w:t>use@ufscar.br</w:t>
      </w:r>
    </w:hyperlink>
  </w:p>
  <w:p w:rsidR="005A17FB" w:rsidRDefault="005A17FB" w:rsidP="0075190C">
    <w:pPr>
      <w:pStyle w:val="Cabealho"/>
      <w:ind w:right="1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3A9D"/>
    <w:multiLevelType w:val="hybridMultilevel"/>
    <w:tmpl w:val="C354E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1D89"/>
    <w:multiLevelType w:val="hybridMultilevel"/>
    <w:tmpl w:val="88A22A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9D7420"/>
    <w:multiLevelType w:val="hybridMultilevel"/>
    <w:tmpl w:val="F0FC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F77DA"/>
    <w:multiLevelType w:val="hybridMultilevel"/>
    <w:tmpl w:val="5306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44F32"/>
    <w:multiLevelType w:val="hybridMultilevel"/>
    <w:tmpl w:val="EA6E3D30"/>
    <w:lvl w:ilvl="0" w:tplc="0416000D">
      <w:start w:val="1"/>
      <w:numFmt w:val="bullet"/>
      <w:lvlText w:val=""/>
      <w:lvlJc w:val="left"/>
      <w:pPr>
        <w:tabs>
          <w:tab w:val="num" w:pos="1491"/>
        </w:tabs>
        <w:ind w:left="1491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5">
    <w:nsid w:val="680B41FA"/>
    <w:multiLevelType w:val="hybridMultilevel"/>
    <w:tmpl w:val="A1248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8550F"/>
    <w:multiLevelType w:val="hybridMultilevel"/>
    <w:tmpl w:val="201C3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D5EBC"/>
    <w:rsid w:val="0000000E"/>
    <w:rsid w:val="00006EF1"/>
    <w:rsid w:val="0001705B"/>
    <w:rsid w:val="00021FC9"/>
    <w:rsid w:val="00053E24"/>
    <w:rsid w:val="00060672"/>
    <w:rsid w:val="00070440"/>
    <w:rsid w:val="00083A4D"/>
    <w:rsid w:val="000A049B"/>
    <w:rsid w:val="000A11DA"/>
    <w:rsid w:val="000A2A75"/>
    <w:rsid w:val="000D28A6"/>
    <w:rsid w:val="00112C2D"/>
    <w:rsid w:val="00114E64"/>
    <w:rsid w:val="0014668F"/>
    <w:rsid w:val="00195FF1"/>
    <w:rsid w:val="001C0E7D"/>
    <w:rsid w:val="002016D1"/>
    <w:rsid w:val="00216FBC"/>
    <w:rsid w:val="00217997"/>
    <w:rsid w:val="002255D0"/>
    <w:rsid w:val="00246CFB"/>
    <w:rsid w:val="00256D3D"/>
    <w:rsid w:val="00263FED"/>
    <w:rsid w:val="00292BBD"/>
    <w:rsid w:val="002B6DEC"/>
    <w:rsid w:val="002C1A1B"/>
    <w:rsid w:val="002D66F1"/>
    <w:rsid w:val="003038CE"/>
    <w:rsid w:val="00330F7B"/>
    <w:rsid w:val="00340A0C"/>
    <w:rsid w:val="003552F1"/>
    <w:rsid w:val="003601A1"/>
    <w:rsid w:val="00376C03"/>
    <w:rsid w:val="00391073"/>
    <w:rsid w:val="003D39DA"/>
    <w:rsid w:val="004102D9"/>
    <w:rsid w:val="004166F8"/>
    <w:rsid w:val="00432B3C"/>
    <w:rsid w:val="004412C9"/>
    <w:rsid w:val="00454DA2"/>
    <w:rsid w:val="004A5A01"/>
    <w:rsid w:val="004F2EBF"/>
    <w:rsid w:val="00510178"/>
    <w:rsid w:val="005238AB"/>
    <w:rsid w:val="0053000F"/>
    <w:rsid w:val="00531781"/>
    <w:rsid w:val="00587BBD"/>
    <w:rsid w:val="005A17FB"/>
    <w:rsid w:val="005A6E22"/>
    <w:rsid w:val="005B2602"/>
    <w:rsid w:val="005B62C3"/>
    <w:rsid w:val="005C65EC"/>
    <w:rsid w:val="005E0D08"/>
    <w:rsid w:val="005E2419"/>
    <w:rsid w:val="005F4E25"/>
    <w:rsid w:val="00605E87"/>
    <w:rsid w:val="00606042"/>
    <w:rsid w:val="006429EB"/>
    <w:rsid w:val="00665DF4"/>
    <w:rsid w:val="0067399F"/>
    <w:rsid w:val="006913DB"/>
    <w:rsid w:val="006A106F"/>
    <w:rsid w:val="006B41EC"/>
    <w:rsid w:val="006D7494"/>
    <w:rsid w:val="006E5857"/>
    <w:rsid w:val="006F24D4"/>
    <w:rsid w:val="006F4CE4"/>
    <w:rsid w:val="00706A32"/>
    <w:rsid w:val="00713A66"/>
    <w:rsid w:val="00740965"/>
    <w:rsid w:val="0075190C"/>
    <w:rsid w:val="00762353"/>
    <w:rsid w:val="007749C6"/>
    <w:rsid w:val="00775F0F"/>
    <w:rsid w:val="00784E47"/>
    <w:rsid w:val="007A4811"/>
    <w:rsid w:val="007D24BF"/>
    <w:rsid w:val="008207E4"/>
    <w:rsid w:val="00821828"/>
    <w:rsid w:val="00832193"/>
    <w:rsid w:val="008327A3"/>
    <w:rsid w:val="0085044B"/>
    <w:rsid w:val="00851468"/>
    <w:rsid w:val="008534EB"/>
    <w:rsid w:val="00854C94"/>
    <w:rsid w:val="00873069"/>
    <w:rsid w:val="008760E7"/>
    <w:rsid w:val="008D238B"/>
    <w:rsid w:val="00907040"/>
    <w:rsid w:val="00915666"/>
    <w:rsid w:val="0093513C"/>
    <w:rsid w:val="00945F0A"/>
    <w:rsid w:val="009564FB"/>
    <w:rsid w:val="00976FD7"/>
    <w:rsid w:val="00981DBC"/>
    <w:rsid w:val="009A2EF1"/>
    <w:rsid w:val="009B6B11"/>
    <w:rsid w:val="009D7650"/>
    <w:rsid w:val="00A05F0A"/>
    <w:rsid w:val="00A11169"/>
    <w:rsid w:val="00A23A9D"/>
    <w:rsid w:val="00A40096"/>
    <w:rsid w:val="00A44A26"/>
    <w:rsid w:val="00A621DF"/>
    <w:rsid w:val="00A973B4"/>
    <w:rsid w:val="00AA1117"/>
    <w:rsid w:val="00AA3153"/>
    <w:rsid w:val="00AB6381"/>
    <w:rsid w:val="00AC1B40"/>
    <w:rsid w:val="00AD5EBC"/>
    <w:rsid w:val="00AD7DB5"/>
    <w:rsid w:val="00AF25A0"/>
    <w:rsid w:val="00AF42B3"/>
    <w:rsid w:val="00B00271"/>
    <w:rsid w:val="00B01988"/>
    <w:rsid w:val="00B4730D"/>
    <w:rsid w:val="00B55298"/>
    <w:rsid w:val="00B63C38"/>
    <w:rsid w:val="00B80E4B"/>
    <w:rsid w:val="00B970DD"/>
    <w:rsid w:val="00BC190C"/>
    <w:rsid w:val="00BD2853"/>
    <w:rsid w:val="00BD438C"/>
    <w:rsid w:val="00BF01E6"/>
    <w:rsid w:val="00C011A4"/>
    <w:rsid w:val="00C032AF"/>
    <w:rsid w:val="00C26731"/>
    <w:rsid w:val="00C267AD"/>
    <w:rsid w:val="00C420FA"/>
    <w:rsid w:val="00C456AF"/>
    <w:rsid w:val="00C475C2"/>
    <w:rsid w:val="00C50CDC"/>
    <w:rsid w:val="00C82191"/>
    <w:rsid w:val="00C86B28"/>
    <w:rsid w:val="00C95863"/>
    <w:rsid w:val="00CC48A1"/>
    <w:rsid w:val="00CC798C"/>
    <w:rsid w:val="00CD0ED1"/>
    <w:rsid w:val="00CD23C1"/>
    <w:rsid w:val="00CE0795"/>
    <w:rsid w:val="00CE4E49"/>
    <w:rsid w:val="00D068F6"/>
    <w:rsid w:val="00D24759"/>
    <w:rsid w:val="00D544D0"/>
    <w:rsid w:val="00D62CDA"/>
    <w:rsid w:val="00D918CE"/>
    <w:rsid w:val="00D96687"/>
    <w:rsid w:val="00D969C9"/>
    <w:rsid w:val="00DE2717"/>
    <w:rsid w:val="00DF0393"/>
    <w:rsid w:val="00DF2E65"/>
    <w:rsid w:val="00E0215F"/>
    <w:rsid w:val="00E13480"/>
    <w:rsid w:val="00E17316"/>
    <w:rsid w:val="00E32BD2"/>
    <w:rsid w:val="00E3733F"/>
    <w:rsid w:val="00E54D75"/>
    <w:rsid w:val="00EF7A4C"/>
    <w:rsid w:val="00F23E70"/>
    <w:rsid w:val="00F623C7"/>
    <w:rsid w:val="00F7627E"/>
    <w:rsid w:val="00FA1BF1"/>
    <w:rsid w:val="00FB6A4C"/>
    <w:rsid w:val="00FE780E"/>
    <w:rsid w:val="00FF58BD"/>
    <w:rsid w:val="00FF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E7"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1B8C"/>
    <w:pPr>
      <w:tabs>
        <w:tab w:val="center" w:pos="4252"/>
        <w:tab w:val="right" w:pos="8504"/>
      </w:tabs>
    </w:pPr>
    <w:rPr>
      <w:rFonts w:eastAsia="Times New Roman"/>
      <w:lang w:eastAsia="pt-BR"/>
    </w:rPr>
  </w:style>
  <w:style w:type="character" w:styleId="Hyperlink">
    <w:name w:val="Hyperlink"/>
    <w:basedOn w:val="Fontepargpadro"/>
    <w:rsid w:val="00BE1B8C"/>
    <w:rPr>
      <w:color w:val="0000FF"/>
      <w:u w:val="single"/>
    </w:rPr>
  </w:style>
  <w:style w:type="paragraph" w:styleId="Rodap">
    <w:name w:val="footer"/>
    <w:basedOn w:val="Normal"/>
    <w:rsid w:val="00AD0F04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19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90C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DF2E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011A4"/>
    <w:rPr>
      <w:rFonts w:eastAsia="Times New Roman"/>
      <w:sz w:val="24"/>
      <w:szCs w:val="24"/>
    </w:rPr>
  </w:style>
  <w:style w:type="table" w:styleId="Tabelacomgrade">
    <w:name w:val="Table Grid"/>
    <w:basedOn w:val="Tabelanormal"/>
    <w:uiPriority w:val="59"/>
    <w:rsid w:val="00246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E7"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1B8C"/>
    <w:pPr>
      <w:tabs>
        <w:tab w:val="center" w:pos="4252"/>
        <w:tab w:val="right" w:pos="8504"/>
      </w:tabs>
    </w:pPr>
    <w:rPr>
      <w:rFonts w:eastAsia="Times New Roman"/>
      <w:lang w:eastAsia="pt-BR"/>
    </w:rPr>
  </w:style>
  <w:style w:type="character" w:styleId="Hyperlink">
    <w:name w:val="Hyperlink"/>
    <w:basedOn w:val="Fontepargpadro"/>
    <w:rsid w:val="00BE1B8C"/>
    <w:rPr>
      <w:color w:val="0000FF"/>
      <w:u w:val="single"/>
    </w:rPr>
  </w:style>
  <w:style w:type="paragraph" w:styleId="Rodap">
    <w:name w:val="footer"/>
    <w:basedOn w:val="Normal"/>
    <w:rsid w:val="00AD0F04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19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90C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DF2E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011A4"/>
    <w:rPr>
      <w:rFonts w:eastAsia="Times New Roman"/>
      <w:sz w:val="24"/>
      <w:szCs w:val="24"/>
    </w:rPr>
  </w:style>
  <w:style w:type="table" w:styleId="Tabelacomgrade">
    <w:name w:val="Table Grid"/>
    <w:basedOn w:val="Tabelanormal"/>
    <w:uiPriority w:val="59"/>
    <w:rsid w:val="00246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se@ufscar.b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Reunião da Comissão de Pesquisa da USE</vt:lpstr>
    </vt:vector>
  </TitlesOfParts>
  <Company>Microsoft</Company>
  <LinksUpToDate>false</LinksUpToDate>
  <CharactersWithSpaces>4928</CharactersWithSpaces>
  <SharedDoc>false</SharedDoc>
  <HLinks>
    <vt:vector size="6" baseType="variant">
      <vt:variant>
        <vt:i4>4784236</vt:i4>
      </vt:variant>
      <vt:variant>
        <vt:i4>0</vt:i4>
      </vt:variant>
      <vt:variant>
        <vt:i4>0</vt:i4>
      </vt:variant>
      <vt:variant>
        <vt:i4>5</vt:i4>
      </vt:variant>
      <vt:variant>
        <vt:lpwstr>mailto:use@ufscar.br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Reunião da Comissão de Pesquisa da USE</dc:title>
  <dc:creator>silviazem</dc:creator>
  <cp:lastModifiedBy>Gilberto Pisoni Bannitz</cp:lastModifiedBy>
  <cp:revision>2</cp:revision>
  <cp:lastPrinted>2012-07-17T18:34:00Z</cp:lastPrinted>
  <dcterms:created xsi:type="dcterms:W3CDTF">2016-03-25T19:41:00Z</dcterms:created>
  <dcterms:modified xsi:type="dcterms:W3CDTF">2016-03-25T19:41:00Z</dcterms:modified>
</cp:coreProperties>
</file>