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ottom w:val="single" w:sz="4" w:space="1" w:color="000000"/>
        </w:pBdr>
        <w:spacing w:before="400" w:after="120"/>
        <w:rPr>
          <w:color w:val="000000"/>
        </w:rPr>
      </w:pPr>
      <w:r>
        <w:rPr>
          <w:color w:val="000000"/>
        </w:rPr>
        <w:t>S04 Atividade Prática: Compreensão de Leitura e Realização de Anotações</w:t>
      </w:r>
    </w:p>
    <w:p>
      <w:pPr>
        <w:pStyle w:val="normal1"/>
        <w:rPr>
          <w:color w:val="000000"/>
        </w:rPr>
      </w:pPr>
      <w:r>
        <w:rPr>
          <w:b/>
          <w:color w:val="000000"/>
        </w:rPr>
        <w:t>Nome:</w:t>
      </w:r>
      <w:r>
        <w:rPr>
          <w:color w:val="000000"/>
        </w:rPr>
        <w:t xml:space="preserve"> </w:t>
      </w:r>
      <w:r>
        <w:rPr>
          <w:color w:val="000000"/>
        </w:rPr>
        <w:t>Alexandre Cleiton Lima Peregrino</w:t>
      </w:r>
    </w:p>
    <w:p>
      <w:pPr>
        <w:pStyle w:val="Heading2"/>
        <w:rPr>
          <w:color w:val="000000"/>
        </w:rPr>
      </w:pPr>
      <w:r>
        <w:rPr>
          <w:color w:val="000000"/>
        </w:rPr>
        <w:t>Visão Geral</w:t>
      </w:r>
    </w:p>
    <w:p>
      <w:pPr>
        <w:pStyle w:val="normal1"/>
        <w:rPr>
          <w:color w:val="000000"/>
        </w:rPr>
      </w:pPr>
      <w:r>
        <w:rPr>
          <w:color w:val="000000"/>
        </w:rPr>
        <w:t>Este exercício ajudará você a praticar algumas habilidades básicas de compreensão de leitura e realização de anotações que foram ensinadas na S04 Lição: Habilidades de Estudo. Revise a lição se você não tiver certeza de como preencher este documento.</w:t>
      </w:r>
    </w:p>
    <w:p>
      <w:pPr>
        <w:pStyle w:val="Heading2"/>
        <w:rPr>
          <w:color w:val="000000"/>
        </w:rPr>
      </w:pPr>
      <w:bookmarkStart w:id="0" w:name="_heading=h.gjdgxs"/>
      <w:bookmarkEnd w:id="0"/>
      <w:r>
        <w:rPr>
          <w:color w:val="000000"/>
        </w:rPr>
        <w:t>Passo 1 – Fazer Uma Visualização Prévia</w:t>
      </w:r>
    </w:p>
    <w:p>
      <w:pPr>
        <w:pStyle w:val="normal1"/>
        <w:rPr>
          <w:color w:val="000000"/>
        </w:rPr>
      </w:pPr>
      <w:r>
        <w:rPr>
          <w:color w:val="000000"/>
        </w:rPr>
        <w:t xml:space="preserve">Faça uma visualização prévia do artigo </w:t>
      </w:r>
      <w:r>
        <w:rPr>
          <w:b/>
          <w:color w:val="000000"/>
        </w:rPr>
        <w:t xml:space="preserve">no final deste documento </w:t>
      </w:r>
      <w:r>
        <w:rPr>
          <w:color w:val="000000"/>
        </w:rPr>
        <w:t xml:space="preserve">chamado “Aprender é um Esforço Espiritual”. </w:t>
      </w:r>
      <w:r>
        <w:rPr>
          <w:rFonts w:eastAsia="Cambria" w:cs="Cambria" w:ascii="Cambria" w:hAnsi="Cambria"/>
          <w:color w:val="000000"/>
        </w:rPr>
        <w:t>Para isso, faça uma leitura rápida do artigo e aprenda o que puder com os títulos, palavras em negrito, listas ou marcadores. Em seguida, responda às quatro perguntas abaixo. Exemplos de respostas foram fornecidos em vermelho.</w:t>
      </w:r>
    </w:p>
    <w:p>
      <w:pPr>
        <w:pStyle w:val="normal1"/>
        <w:pBdr/>
        <w:rPr>
          <w:rFonts w:ascii="Cambria" w:hAnsi="Cambria" w:eastAsia="Cambria" w:cs="Cambria"/>
          <w:color w:val="000000"/>
        </w:rPr>
      </w:pPr>
      <w:r>
        <w:rPr>
          <w:rFonts w:eastAsia="Cambria" w:cs="Cambria" w:ascii="Cambria" w:hAnsi="Cambria"/>
          <w:color w:val="000000"/>
        </w:rPr>
      </w:r>
    </w:p>
    <w:p>
      <w:pPr>
        <w:pStyle w:val="normal1"/>
        <w:pBdr/>
        <w:rPr>
          <w:color w:val="000000"/>
        </w:rPr>
      </w:pPr>
      <w:r>
        <w:rPr>
          <w:rFonts w:eastAsia="Cambria" w:cs="Cambria" w:ascii="Cambria" w:hAnsi="Cambria"/>
          <w:color w:val="000000"/>
        </w:rPr>
        <w:t xml:space="preserve">Com base na </w:t>
      </w:r>
      <w:r>
        <w:rPr>
          <w:color w:val="000000"/>
        </w:rPr>
        <w:t>sua</w:t>
      </w:r>
      <w:r>
        <w:rPr>
          <w:rFonts w:eastAsia="Cambria" w:cs="Cambria" w:ascii="Cambria" w:hAnsi="Cambria"/>
          <w:color w:val="000000"/>
        </w:rPr>
        <w:t xml:space="preserve"> visualização prévia do artigo, </w:t>
      </w:r>
      <w:r>
        <w:rPr>
          <w:color w:val="000000"/>
        </w:rPr>
        <w:t xml:space="preserve">qual é uma coisa que você acha que o artigo vai lhe ensinar? </w:t>
      </w:r>
    </w:p>
    <w:p>
      <w:pPr>
        <w:pStyle w:val="normal1"/>
        <w:pBdr/>
        <w:rPr>
          <w:color w:val="000000"/>
        </w:rPr>
      </w:pPr>
      <w:r>
        <w:rPr>
          <w:color w:val="000000"/>
        </w:rPr>
      </w:r>
    </w:p>
    <w:p>
      <w:pPr>
        <w:pStyle w:val="normal1"/>
        <w:pBdr/>
        <w:ind w:hanging="0" w:left="720"/>
        <w:rPr>
          <w:color w:val="C9211E"/>
        </w:rPr>
      </w:pPr>
      <w:r>
        <w:rPr>
          <w:color w:val="C9211E"/>
        </w:rPr>
        <w:t>Este artigo pode me ensinar sobre a relação entre o Espírito Santo e o aprendizado.</w:t>
      </w:r>
    </w:p>
    <w:p>
      <w:pPr>
        <w:pStyle w:val="normal1"/>
        <w:pBdr/>
        <w:ind w:hanging="0" w:left="720"/>
        <w:rPr/>
      </w:pPr>
      <w:r>
        <w:rPr>
          <w:color w:val="000000"/>
        </w:rPr>
      </w:r>
    </w:p>
    <w:p>
      <w:pPr>
        <w:pStyle w:val="normal1"/>
        <w:pBdr/>
        <w:ind w:hanging="0" w:left="720"/>
        <w:rPr>
          <w:color w:val="000000"/>
        </w:rPr>
      </w:pPr>
      <w:r>
        <w:rPr>
          <w:color w:val="000000"/>
        </w:rPr>
        <w:t>Por que a visualização prévia do artigo levou você a pensar isso?</w:t>
      </w:r>
    </w:p>
    <w:p>
      <w:pPr>
        <w:pStyle w:val="normal1"/>
        <w:pBdr/>
        <w:ind w:hanging="0" w:left="720"/>
        <w:rPr>
          <w:color w:val="000000"/>
        </w:rPr>
      </w:pPr>
      <w:r>
        <w:rPr>
          <w:color w:val="000000"/>
        </w:rPr>
      </w:r>
    </w:p>
    <w:p>
      <w:pPr>
        <w:pStyle w:val="normal1"/>
        <w:ind w:hanging="0" w:left="720"/>
        <w:rPr>
          <w:color w:val="C9211E"/>
        </w:rPr>
      </w:pPr>
      <w:r>
        <w:rPr>
          <w:color w:val="C9211E"/>
        </w:rPr>
        <w:t>O título diz que aprender é um esforço espiritual, o que significa que o aprendizado envolve ajuda divina, como a ajuda do Espírito Santo.</w:t>
      </w:r>
    </w:p>
    <w:p>
      <w:pPr>
        <w:pStyle w:val="normal1"/>
        <w:ind w:hanging="0" w:left="720"/>
        <w:rPr>
          <w:rFonts w:ascii="Cambria" w:hAnsi="Cambria" w:eastAsia="Cambria" w:cs="Cambria"/>
          <w:color w:val="000000"/>
        </w:rPr>
      </w:pPr>
      <w:r>
        <w:rPr>
          <w:rFonts w:eastAsia="Cambria" w:cs="Cambria" w:ascii="Cambria" w:hAnsi="Cambria"/>
          <w:color w:val="000000"/>
        </w:rPr>
      </w:r>
    </w:p>
    <w:p>
      <w:pPr>
        <w:pStyle w:val="normal1"/>
        <w:numPr>
          <w:ilvl w:val="0"/>
          <w:numId w:val="1"/>
        </w:numPr>
        <w:pBdr/>
        <w:spacing w:lineRule="auto" w:line="276"/>
        <w:ind w:hanging="360" w:left="360"/>
        <w:rPr>
          <w:color w:val="000000"/>
        </w:rPr>
      </w:pPr>
      <w:r>
        <w:rPr>
          <w:rFonts w:eastAsia="Cambria" w:cs="Cambria" w:ascii="Cambria" w:hAnsi="Cambria"/>
          <w:color w:val="000000"/>
        </w:rPr>
        <w:t xml:space="preserve">Com base na sua visualização prévia do artigo, </w:t>
      </w:r>
      <w:r>
        <w:rPr>
          <w:color w:val="000000"/>
        </w:rPr>
        <w:t>qual é uma coisa que você acha que o artigo vai lhe ensinar</w:t>
      </w:r>
      <w:r>
        <w:rPr>
          <w:rFonts w:eastAsia="Cambria" w:cs="Cambria" w:ascii="Cambria" w:hAnsi="Cambria"/>
          <w:color w:val="000000"/>
        </w:rPr>
        <w:t xml:space="preserve">? </w:t>
      </w:r>
    </w:p>
    <w:p>
      <w:pPr>
        <w:pStyle w:val="normal1"/>
        <w:pBdr/>
        <w:ind w:hanging="0" w:left="1080"/>
        <w:jc w:val="both"/>
        <w:rPr>
          <w:color w:val="000000"/>
        </w:rPr>
      </w:pPr>
      <w:r>
        <w:rPr>
          <w:color w:val="000000"/>
        </w:rPr>
        <w:t>O artigo vai me ensinar que o aprendizado verdadeiro vai além do esforço intelectual — ele é um processo espiritual que requer a participação ativa de Deus. Mesmo quando enfrentamos dificuldades naturais de aprendizado, como o próprio autor relata ter tido, é possível aprender qualquer coisa quando combinamos nosso esforço diligente com a ajuda do Pai Celestial, por meio do Espírito Santo. O artigo também sugere que existem princípios específicos que podemos seguir para tornar o aprendizado mais eficaz quando o tratamos como um esforço espiritual.</w:t>
      </w:r>
    </w:p>
    <w:p>
      <w:pPr>
        <w:pStyle w:val="normal1"/>
        <w:pBdr/>
        <w:ind w:hanging="0" w:left="1080"/>
        <w:jc w:val="both"/>
        <w:rPr/>
      </w:pPr>
      <w:r>
        <w:rPr>
          <w:color w:val="000000"/>
        </w:rPr>
      </w:r>
    </w:p>
    <w:p>
      <w:pPr>
        <w:pStyle w:val="normal1"/>
        <w:numPr>
          <w:ilvl w:val="1"/>
          <w:numId w:val="1"/>
        </w:numPr>
        <w:pBdr/>
        <w:ind w:hanging="360" w:left="720"/>
        <w:rPr>
          <w:color w:val="000000"/>
        </w:rPr>
      </w:pPr>
      <w:r>
        <w:rPr>
          <w:color w:val="000000"/>
        </w:rPr>
        <w:t>Por que a visualização prévia do artigo levou você a pensar isso?</w:t>
      </w:r>
    </w:p>
    <w:p>
      <w:pPr>
        <w:pStyle w:val="normal1"/>
        <w:pBdr/>
        <w:ind w:hanging="0" w:left="1080"/>
        <w:jc w:val="both"/>
        <w:rPr>
          <w:color w:val="000000"/>
        </w:rPr>
      </w:pPr>
      <w:r>
        <w:rPr>
          <w:color w:val="000000"/>
        </w:rPr>
        <w:t xml:space="preserve">O título "Aprender é um Esforço Espiritual" já entrega a tese central do artigo: aprender não é apenas um processo mental, mas também espiritual. Além disso, ao </w:t>
      </w:r>
      <w:r>
        <w:rPr>
          <w:color w:val="000000"/>
        </w:rPr>
        <w:t>percorrer</w:t>
      </w:r>
      <w:r>
        <w:rPr>
          <w:color w:val="000000"/>
        </w:rPr>
        <w:t xml:space="preserve"> o texto, os subtítulos em negrito como "Superar as Dificuldades de Aprendizado", "Fazer do Aprendizado um Esforço Espiritual" e "Aprender em Lugares Santos" indicam que o autor vai apresentar princípios práticos e espirituais para superar desafios de aprendizado. A estrutura com princípios numerados e sugestões também sugere um guia passo a passo, o que reforçou minha expectativa.</w:t>
      </w:r>
    </w:p>
    <w:p>
      <w:pPr>
        <w:pStyle w:val="normal1"/>
        <w:pBdr/>
        <w:ind w:hanging="0" w:left="1080"/>
        <w:jc w:val="both"/>
        <w:rPr/>
      </w:pPr>
      <w:r>
        <w:rPr>
          <w:color w:val="000000"/>
        </w:rPr>
      </w:r>
    </w:p>
    <w:p>
      <w:pPr>
        <w:pStyle w:val="normal1"/>
        <w:numPr>
          <w:ilvl w:val="0"/>
          <w:numId w:val="1"/>
        </w:numPr>
        <w:pBdr/>
        <w:spacing w:lineRule="auto" w:line="276"/>
        <w:ind w:hanging="360" w:left="360"/>
        <w:rPr>
          <w:color w:val="000000"/>
        </w:rPr>
      </w:pPr>
      <w:r>
        <w:rPr>
          <w:rFonts w:eastAsia="Cambria" w:cs="Cambria" w:ascii="Cambria" w:hAnsi="Cambria"/>
          <w:color w:val="000000"/>
        </w:rPr>
        <w:t xml:space="preserve">Com base na sua visualização prévia do artigo, qual é outra coisa </w:t>
      </w:r>
      <w:r>
        <w:rPr>
          <w:rFonts w:eastAsia="Cambria" w:cs="Cambria" w:ascii="Cambria" w:hAnsi="Cambria"/>
          <w:color w:val="000000"/>
        </w:rPr>
        <w:t>que você</w:t>
      </w:r>
      <w:r>
        <w:rPr>
          <w:rFonts w:eastAsia="Cambria" w:cs="Cambria" w:ascii="Cambria" w:hAnsi="Cambria"/>
          <w:color w:val="000000"/>
        </w:rPr>
        <w:t xml:space="preserve"> acha que o artigo vai lhe ensinar? </w:t>
      </w:r>
    </w:p>
    <w:p>
      <w:pPr>
        <w:pStyle w:val="normal1"/>
        <w:pBdr/>
        <w:ind w:hanging="0" w:left="1080"/>
        <w:jc w:val="both"/>
        <w:rPr>
          <w:color w:val="000000"/>
        </w:rPr>
      </w:pPr>
      <w:r>
        <w:rPr>
          <w:color w:val="000000"/>
        </w:rPr>
        <w:t>O artigo vai ensinar que existem ações concretas que podemos tomar para convidar o Espírito Santo para o processo de aprendizado, como orar especificamente pelas matérias que estamos estudando, jejuar, servir ao próximo e frequentar o templo. Além disso, o autor provavelmente mostrará que a obediência aos mandamentos de Deus está diretamente ligada à capacidade de compreender a verdade.</w:t>
      </w:r>
    </w:p>
    <w:p>
      <w:pPr>
        <w:pStyle w:val="normal1"/>
        <w:pBdr/>
        <w:ind w:hanging="0" w:left="1080"/>
        <w:jc w:val="both"/>
        <w:rPr/>
      </w:pPr>
      <w:r>
        <w:rPr>
          <w:color w:val="000000"/>
        </w:rPr>
      </w:r>
    </w:p>
    <w:p>
      <w:pPr>
        <w:pStyle w:val="normal1"/>
        <w:numPr>
          <w:ilvl w:val="1"/>
          <w:numId w:val="1"/>
        </w:numPr>
        <w:pBdr/>
        <w:ind w:hanging="360" w:left="720"/>
        <w:rPr>
          <w:color w:val="000000"/>
        </w:rPr>
      </w:pPr>
      <w:r>
        <w:rPr>
          <w:color w:val="000000"/>
        </w:rPr>
        <w:t>Por que a visualização prévia do artigo levou você a pensar isso?</w:t>
      </w:r>
    </w:p>
    <w:p>
      <w:pPr>
        <w:pStyle w:val="normal1"/>
        <w:pBdr/>
        <w:ind w:hanging="0" w:left="1080"/>
        <w:jc w:val="both"/>
        <w:rPr>
          <w:color w:val="000000"/>
        </w:rPr>
      </w:pPr>
      <w:r>
        <w:rPr>
          <w:rFonts w:eastAsia="Cambria" w:cs="Cambria" w:ascii="Cambria" w:hAnsi="Cambria"/>
          <w:color w:val="000000"/>
          <w:sz w:val="22"/>
          <w:szCs w:val="22"/>
        </w:rPr>
        <w:t>Os subtítulos como "Primeiro, cultive o desejo de aprender", "Segundo, faça o trabalho" e "Terceiro, faça coisas que tragam o Espírito para sua vida" são claramente instruções práticas. Eles aparecem em negrito e em formato de lista numerada, o que indica que o autor está oferecendo um método aplicável. Isso me fez perceber que o artigo não apenas explica conceitos, mas também oferece um guia prático para o leitor colocar em ação.</w:t>
      </w:r>
    </w:p>
    <w:p>
      <w:pPr>
        <w:pStyle w:val="normal1"/>
        <w:spacing w:lineRule="auto" w:line="276"/>
        <w:rPr>
          <w:color w:val="000000"/>
        </w:rPr>
      </w:pPr>
      <w:r>
        <w:rPr>
          <w:color w:val="000000"/>
        </w:rPr>
      </w:r>
      <w:bookmarkStart w:id="1" w:name="_heading=h.30j0zll"/>
      <w:bookmarkStart w:id="2" w:name="_heading=h.30j0zll"/>
      <w:bookmarkEnd w:id="2"/>
    </w:p>
    <w:p>
      <w:pPr>
        <w:pStyle w:val="normal1"/>
        <w:spacing w:lineRule="auto" w:line="276"/>
        <w:jc w:val="right"/>
        <w:rPr>
          <w:color w:val="000000"/>
        </w:rPr>
      </w:pPr>
      <w:r>
        <w:rPr>
          <w:color w:val="000000"/>
        </w:rPr>
      </w:r>
    </w:p>
    <w:p>
      <w:pPr>
        <w:pStyle w:val="Heading2"/>
        <w:spacing w:before="0" w:after="120"/>
        <w:rPr>
          <w:color w:val="000000"/>
        </w:rPr>
      </w:pPr>
      <w:r>
        <w:rPr>
          <w:color w:val="000000"/>
        </w:rPr>
        <w:t>Passo 2 – Ler e Fazer Anotações</w:t>
      </w:r>
    </w:p>
    <w:p>
      <w:pPr>
        <w:pStyle w:val="normal1"/>
        <w:rPr>
          <w:color w:val="000000"/>
        </w:rPr>
      </w:pPr>
      <w:r>
        <w:rPr>
          <w:color w:val="000000"/>
        </w:rPr>
        <w:t>Agora leia o mesmo artigo no final deste documento e faça anotações usando o Método Cornell no modelo abaixo. As anotações usando o Método Cornell precisam ser sobre esse artigo.</w:t>
      </w:r>
    </w:p>
    <w:p>
      <w:pPr>
        <w:pStyle w:val="normal1"/>
        <w:numPr>
          <w:ilvl w:val="0"/>
          <w:numId w:val="2"/>
        </w:numPr>
        <w:ind w:hanging="360" w:left="540"/>
        <w:rPr>
          <w:color w:val="000000"/>
        </w:rPr>
      </w:pPr>
      <w:r>
        <w:rPr>
          <w:color w:val="000000"/>
        </w:rPr>
        <w:t>Para receber a pontuação total, a coluna de Pistas e a coluna de Anotações devem ter pelo menos três registros cada. A coluna de Resumo deve ter um registro;</w:t>
      </w:r>
    </w:p>
    <w:p>
      <w:pPr>
        <w:pStyle w:val="normal1"/>
        <w:numPr>
          <w:ilvl w:val="0"/>
          <w:numId w:val="2"/>
        </w:numPr>
        <w:ind w:hanging="360" w:left="540"/>
        <w:rPr>
          <w:color w:val="000000"/>
        </w:rPr>
      </w:pPr>
      <w:r>
        <w:rPr>
          <w:color w:val="000000"/>
        </w:rPr>
        <w:t>Separe cada registro com um espaço para que o(a) avaliador(a) possa ver cada um deles;</w:t>
      </w:r>
    </w:p>
    <w:p>
      <w:pPr>
        <w:pStyle w:val="normal1"/>
        <w:numPr>
          <w:ilvl w:val="0"/>
          <w:numId w:val="2"/>
        </w:numPr>
        <w:ind w:hanging="360" w:left="540"/>
        <w:rPr/>
      </w:pPr>
      <w:r>
        <w:rPr>
          <w:color w:val="000000"/>
        </w:rPr>
        <w:t xml:space="preserve">O registro na coluna de Resumo deve ser de alta qualidade (consulte </w:t>
      </w:r>
      <w:hyperlink r:id="rId2">
        <w:r>
          <w:rPr>
            <w:rStyle w:val="ListLabel46"/>
            <w:color w:val="000000"/>
            <w:u w:val="single"/>
          </w:rPr>
          <w:t>Respostas de Alta Qualidade para Perguntas Abertas</w:t>
        </w:r>
      </w:hyperlink>
      <w:r>
        <w:rPr>
          <w:color w:val="000000"/>
        </w:rPr>
        <w:t>)*;</w:t>
      </w:r>
    </w:p>
    <w:p>
      <w:pPr>
        <w:pStyle w:val="normal1"/>
        <w:numPr>
          <w:ilvl w:val="0"/>
          <w:numId w:val="2"/>
        </w:numPr>
        <w:ind w:hanging="360" w:left="540"/>
        <w:rPr>
          <w:color w:val="000000"/>
        </w:rPr>
      </w:pPr>
      <w:r>
        <w:rPr>
          <w:color w:val="000000"/>
        </w:rPr>
        <w:t>O modelo se expandirá conforme você digitar.</w:t>
      </w:r>
    </w:p>
    <w:p>
      <w:pPr>
        <w:pStyle w:val="normal1"/>
        <w:rPr>
          <w:color w:val="000000"/>
        </w:rPr>
      </w:pPr>
      <w:r>
        <w:rPr>
          <w:color w:val="000000"/>
        </w:rPr>
      </w:r>
    </w:p>
    <w:p>
      <w:pPr>
        <w:pStyle w:val="normal1"/>
        <w:rPr>
          <w:color w:val="000000"/>
        </w:rPr>
      </w:pPr>
      <w:r>
        <w:rPr>
          <w:color w:val="000000"/>
        </w:rPr>
      </w:r>
    </w:p>
    <w:tbl>
      <w:tblPr>
        <w:tblStyle w:val="Table1"/>
        <w:tblW w:w="9576" w:type="dxa"/>
        <w:jc w:val="left"/>
        <w:tblInd w:w="0" w:type="dxa"/>
        <w:tblLayout w:type="fixed"/>
        <w:tblCellMar>
          <w:top w:w="0" w:type="dxa"/>
          <w:left w:w="108" w:type="dxa"/>
          <w:bottom w:w="0" w:type="dxa"/>
          <w:right w:w="108" w:type="dxa"/>
        </w:tblCellMar>
        <w:tblLook w:val="0400"/>
      </w:tblPr>
      <w:tblGrid>
        <w:gridCol w:w="2154"/>
        <w:gridCol w:w="7421"/>
      </w:tblGrid>
      <w:tr>
        <w:trPr/>
        <w:tc>
          <w:tcPr>
            <w:tcW w:w="2154" w:type="dxa"/>
            <w:tcBorders>
              <w:top w:val="single" w:sz="4" w:space="0" w:color="000000"/>
              <w:left w:val="single" w:sz="4" w:space="0" w:color="000000"/>
              <w:bottom w:val="single" w:sz="4" w:space="0" w:color="000000"/>
              <w:right w:val="single" w:sz="4" w:space="0" w:color="000000"/>
            </w:tcBorders>
          </w:tcPr>
          <w:p>
            <w:pPr>
              <w:pStyle w:val="normal1"/>
              <w:jc w:val="center"/>
              <w:rPr>
                <w:color w:val="000000"/>
              </w:rPr>
            </w:pPr>
            <w:r>
              <w:rPr>
                <w:b/>
                <w:color w:val="000000"/>
              </w:rPr>
              <w:t>Coluna de Pistas</w:t>
            </w:r>
          </w:p>
          <w:p>
            <w:pPr>
              <w:pStyle w:val="normal1"/>
              <w:jc w:val="center"/>
              <w:rPr>
                <w:b/>
              </w:rPr>
            </w:pPr>
            <w:r>
              <w:rPr>
                <w:color w:val="000000"/>
              </w:rPr>
            </w:r>
          </w:p>
          <w:p>
            <w:pPr>
              <w:pStyle w:val="normal1"/>
              <w:jc w:val="center"/>
              <w:rPr>
                <w:color w:val="000000"/>
              </w:rPr>
            </w:pPr>
            <w:r>
              <w:rPr>
                <w:color w:val="000000"/>
                <w:sz w:val="18"/>
                <w:szCs w:val="18"/>
              </w:rPr>
              <w:t>Contém perguntas ou palavras relacionadas às anotações.</w:t>
            </w:r>
          </w:p>
          <w:p>
            <w:pPr>
              <w:pStyle w:val="normal1"/>
              <w:rPr>
                <w:color w:val="000000"/>
              </w:rPr>
            </w:pPr>
            <w:r>
              <w:rPr>
                <w:color w:val="000000"/>
              </w:rPr>
            </w:r>
          </w:p>
          <w:p>
            <w:pPr>
              <w:pStyle w:val="normal1"/>
              <w:numPr>
                <w:ilvl w:val="0"/>
                <w:numId w:val="0"/>
              </w:numPr>
              <w:ind w:hanging="0" w:left="720"/>
              <w:rPr>
                <w:color w:val="000000"/>
                <w:sz w:val="18"/>
                <w:szCs w:val="18"/>
              </w:rPr>
            </w:pPr>
            <w:r>
              <w:rPr>
                <w:color w:val="000000"/>
                <w:sz w:val="18"/>
                <w:szCs w:val="18"/>
              </w:rPr>
            </w:r>
          </w:p>
          <w:p>
            <w:pPr>
              <w:pStyle w:val="normal1"/>
              <w:rPr>
                <w:color w:val="000000"/>
              </w:rPr>
            </w:pPr>
            <w:r>
              <w:rPr>
                <w:color w:val="000000"/>
              </w:rPr>
            </w:r>
          </w:p>
        </w:tc>
        <w:tc>
          <w:tcPr>
            <w:tcW w:w="7421" w:type="dxa"/>
            <w:tcBorders>
              <w:top w:val="single" w:sz="4" w:space="0" w:color="000000"/>
              <w:left w:val="single" w:sz="4" w:space="0" w:color="000000"/>
              <w:bottom w:val="single" w:sz="4" w:space="0" w:color="000000"/>
              <w:right w:val="single" w:sz="4" w:space="0" w:color="000000"/>
            </w:tcBorders>
          </w:tcPr>
          <w:p>
            <w:pPr>
              <w:pStyle w:val="normal1"/>
              <w:jc w:val="center"/>
              <w:rPr>
                <w:color w:val="000000"/>
              </w:rPr>
            </w:pPr>
            <w:r>
              <w:rPr>
                <w:b/>
                <w:color w:val="000000"/>
              </w:rPr>
              <w:t>Coluna de Anotações</w:t>
            </w:r>
          </w:p>
          <w:p>
            <w:pPr>
              <w:pStyle w:val="normal1"/>
              <w:jc w:val="center"/>
              <w:rPr>
                <w:b/>
              </w:rPr>
            </w:pPr>
            <w:r>
              <w:rPr>
                <w:color w:val="000000"/>
              </w:rPr>
            </w:r>
          </w:p>
          <w:p>
            <w:pPr>
              <w:pStyle w:val="normal1"/>
              <w:jc w:val="center"/>
              <w:rPr>
                <w:color w:val="000000"/>
              </w:rPr>
            </w:pPr>
            <w:r>
              <w:rPr>
                <w:color w:val="000000"/>
                <w:sz w:val="18"/>
                <w:szCs w:val="18"/>
              </w:rPr>
              <w:t>Contém pontos principais do artigo abaixo.</w:t>
            </w:r>
          </w:p>
          <w:p>
            <w:pPr>
              <w:pStyle w:val="normal1"/>
              <w:jc w:val="center"/>
              <w:rPr>
                <w:color w:val="000000"/>
                <w:sz w:val="18"/>
                <w:szCs w:val="18"/>
              </w:rPr>
            </w:pPr>
            <w:r>
              <w:rPr>
                <w:color w:val="000000"/>
                <w:sz w:val="18"/>
                <w:szCs w:val="18"/>
              </w:rPr>
            </w:r>
          </w:p>
          <w:p>
            <w:pPr>
              <w:pStyle w:val="normal1"/>
              <w:rPr>
                <w:color w:val="000000"/>
                <w:sz w:val="18"/>
                <w:szCs w:val="18"/>
              </w:rPr>
            </w:pPr>
            <w:r>
              <w:rPr>
                <w:color w:val="000000"/>
                <w:sz w:val="18"/>
                <w:szCs w:val="18"/>
              </w:rPr>
            </w:r>
          </w:p>
        </w:tc>
      </w:tr>
      <w:tr>
        <w:trPr/>
        <w:tc>
          <w:tcPr>
            <w:tcW w:w="2154" w:type="dxa"/>
            <w:tcBorders>
              <w:left w:val="single" w:sz="4" w:space="0" w:color="000000"/>
              <w:bottom w:val="single" w:sz="4" w:space="0" w:color="000000"/>
              <w:right w:val="single" w:sz="4" w:space="0" w:color="000000"/>
            </w:tcBorders>
          </w:tcPr>
          <w:p>
            <w:pPr>
              <w:pStyle w:val="normal1"/>
              <w:widowControl/>
              <w:numPr>
                <w:ilvl w:val="0"/>
                <w:numId w:val="0"/>
              </w:numPr>
              <w:bidi w:val="0"/>
              <w:spacing w:before="0" w:after="0"/>
              <w:ind w:hanging="0" w:left="283" w:right="0"/>
              <w:jc w:val="left"/>
              <w:rPr>
                <w:color w:val="000000"/>
                <w:sz w:val="18"/>
                <w:szCs w:val="18"/>
              </w:rPr>
            </w:pPr>
            <w:r>
              <w:rPr>
                <w:color w:val="000000"/>
                <w:sz w:val="18"/>
                <w:szCs w:val="18"/>
              </w:rPr>
              <w:t>Qual o papel do Espírito Santo no aprendizado?</w:t>
            </w:r>
          </w:p>
        </w:tc>
        <w:tc>
          <w:tcPr>
            <w:tcW w:w="7421" w:type="dxa"/>
            <w:tcBorders>
              <w:left w:val="single" w:sz="4" w:space="0" w:color="000000"/>
              <w:bottom w:val="single" w:sz="4" w:space="0" w:color="000000"/>
              <w:right w:val="single" w:sz="4" w:space="0" w:color="000000"/>
            </w:tcBorders>
          </w:tcPr>
          <w:p>
            <w:pPr>
              <w:pStyle w:val="normal1"/>
              <w:numPr>
                <w:ilvl w:val="0"/>
                <w:numId w:val="0"/>
              </w:numPr>
              <w:ind w:hanging="0" w:left="720"/>
              <w:rPr>
                <w:color w:val="000000"/>
                <w:sz w:val="18"/>
                <w:szCs w:val="18"/>
              </w:rPr>
            </w:pPr>
            <w:r>
              <w:rPr>
                <w:color w:val="000000"/>
                <w:sz w:val="18"/>
                <w:szCs w:val="18"/>
              </w:rPr>
              <w:t>O primeiro princípio é que toda verdade se torna compreensível pela Luz de Cristo e do Espírito Santo. O Élder Bednar ensinou que "o Espírito Santo é o professor e a testemunha de toda a verdade".</w:t>
            </w:r>
          </w:p>
        </w:tc>
      </w:tr>
      <w:tr>
        <w:trPr>
          <w:trHeight w:val="898" w:hRule="atLeast"/>
        </w:trPr>
        <w:tc>
          <w:tcPr>
            <w:tcW w:w="2154"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sz w:val="18"/>
                <w:szCs w:val="18"/>
              </w:rPr>
              <w:t>O que é necessário para compreender a verdade?</w:t>
            </w:r>
          </w:p>
        </w:tc>
        <w:tc>
          <w:tcPr>
            <w:tcW w:w="7421" w:type="dxa"/>
            <w:tcBorders>
              <w:top w:val="single" w:sz="4" w:space="0" w:color="000000"/>
              <w:left w:val="single" w:sz="4" w:space="0" w:color="000000"/>
              <w:bottom w:val="single" w:sz="4" w:space="0" w:color="000000"/>
              <w:right w:val="single" w:sz="4" w:space="0" w:color="000000"/>
            </w:tcBorders>
          </w:tcPr>
          <w:p>
            <w:pPr>
              <w:pStyle w:val="normal1"/>
              <w:numPr>
                <w:ilvl w:val="0"/>
                <w:numId w:val="0"/>
              </w:numPr>
              <w:ind w:hanging="0" w:left="720"/>
              <w:rPr>
                <w:color w:val="000000"/>
                <w:sz w:val="18"/>
                <w:szCs w:val="18"/>
              </w:rPr>
            </w:pPr>
            <w:r>
              <w:rPr>
                <w:color w:val="000000"/>
                <w:sz w:val="18"/>
                <w:szCs w:val="18"/>
              </w:rPr>
              <w:t>O segundo princípio: para aprender a verdade, devemos obedecer às leis que nos permitem compreendê-la. Exemplo: para aprender álgebra, preciso obedecer às leis do aprendizado da álgebra.</w:t>
            </w:r>
          </w:p>
        </w:tc>
      </w:tr>
      <w:tr>
        <w:trPr>
          <w:trHeight w:val="898" w:hRule="atLeast"/>
        </w:trPr>
        <w:tc>
          <w:tcPr>
            <w:tcW w:w="2154" w:type="dxa"/>
            <w:tcBorders>
              <w:left w:val="single" w:sz="4" w:space="0" w:color="000000"/>
              <w:bottom w:val="single" w:sz="4" w:space="0" w:color="000000"/>
              <w:right w:val="single" w:sz="4" w:space="0" w:color="000000"/>
            </w:tcBorders>
          </w:tcPr>
          <w:p>
            <w:pPr>
              <w:pStyle w:val="normal1"/>
              <w:rPr>
                <w:color w:val="000000"/>
                <w:sz w:val="18"/>
                <w:szCs w:val="18"/>
              </w:rPr>
            </w:pPr>
            <w:r>
              <w:rPr>
                <w:color w:val="000000"/>
                <w:sz w:val="18"/>
                <w:szCs w:val="18"/>
              </w:rPr>
              <w:t>Deus pode acelerar nosso aprendizado?</w:t>
            </w:r>
          </w:p>
        </w:tc>
        <w:tc>
          <w:tcPr>
            <w:tcW w:w="7421" w:type="dxa"/>
            <w:tcBorders>
              <w:left w:val="single" w:sz="4" w:space="0" w:color="000000"/>
              <w:bottom w:val="single" w:sz="4" w:space="0" w:color="000000"/>
              <w:right w:val="single" w:sz="4" w:space="0" w:color="000000"/>
            </w:tcBorders>
          </w:tcPr>
          <w:p>
            <w:pPr>
              <w:pStyle w:val="normal1"/>
              <w:numPr>
                <w:ilvl w:val="0"/>
                <w:numId w:val="0"/>
              </w:numPr>
              <w:ind w:hanging="0" w:left="720"/>
              <w:rPr>
                <w:color w:val="000000"/>
                <w:sz w:val="18"/>
                <w:szCs w:val="18"/>
              </w:rPr>
            </w:pPr>
            <w:r>
              <w:rPr>
                <w:color w:val="000000"/>
                <w:sz w:val="18"/>
                <w:szCs w:val="18"/>
              </w:rPr>
              <w:t>O terceiro princípio: Deus pode acelerar ou aumentar nossa capacidade de compreender. Isaías escreveu que o Espírito Santo fez Jesus ter "entendimento rápido". D&amp;C 88 ensina que a Luz de Cristo "vivifica vosso entendimento".</w:t>
            </w:r>
          </w:p>
        </w:tc>
      </w:tr>
      <w:tr>
        <w:trPr>
          <w:trHeight w:val="898" w:hRule="atLeast"/>
        </w:trPr>
        <w:tc>
          <w:tcPr>
            <w:tcW w:w="2154" w:type="dxa"/>
            <w:tcBorders>
              <w:left w:val="single" w:sz="4" w:space="0" w:color="000000"/>
              <w:bottom w:val="single" w:sz="4" w:space="0" w:color="000000"/>
              <w:right w:val="single" w:sz="4" w:space="0" w:color="000000"/>
            </w:tcBorders>
          </w:tcPr>
          <w:p>
            <w:pPr>
              <w:pStyle w:val="normal1"/>
              <w:rPr>
                <w:color w:val="000000"/>
                <w:sz w:val="18"/>
                <w:szCs w:val="18"/>
              </w:rPr>
            </w:pPr>
            <w:r>
              <w:rPr>
                <w:color w:val="000000"/>
                <w:sz w:val="18"/>
                <w:szCs w:val="18"/>
              </w:rPr>
              <w:t>O que a fé no Salvador nos permite fazer?</w:t>
            </w:r>
          </w:p>
        </w:tc>
        <w:tc>
          <w:tcPr>
            <w:tcW w:w="7421" w:type="dxa"/>
            <w:tcBorders>
              <w:left w:val="single" w:sz="4" w:space="0" w:color="000000"/>
              <w:bottom w:val="single" w:sz="4" w:space="0" w:color="000000"/>
              <w:right w:val="single" w:sz="4" w:space="0" w:color="000000"/>
            </w:tcBorders>
          </w:tcPr>
          <w:p>
            <w:pPr>
              <w:pStyle w:val="normal1"/>
              <w:numPr>
                <w:ilvl w:val="0"/>
                <w:numId w:val="0"/>
              </w:numPr>
              <w:ind w:hanging="0" w:left="720"/>
              <w:rPr>
                <w:color w:val="000000"/>
                <w:sz w:val="18"/>
                <w:szCs w:val="18"/>
              </w:rPr>
            </w:pPr>
            <w:r>
              <w:rPr>
                <w:color w:val="000000"/>
                <w:sz w:val="18"/>
                <w:szCs w:val="18"/>
              </w:rPr>
              <w:t>O quarto princípio: se exercermos fé no Salvador, teremos "poder para fazer tudo quanto for conveniente em Cristo". Isso inclui superar desafios, desenvolver talentos não naturais e persistir mesmo quando é difícil.</w:t>
            </w:r>
          </w:p>
        </w:tc>
      </w:tr>
      <w:tr>
        <w:trPr>
          <w:trHeight w:val="898" w:hRule="atLeast"/>
        </w:trPr>
        <w:tc>
          <w:tcPr>
            <w:tcW w:w="2154" w:type="dxa"/>
            <w:tcBorders>
              <w:left w:val="single" w:sz="4" w:space="0" w:color="000000"/>
              <w:bottom w:val="single" w:sz="4" w:space="0" w:color="000000"/>
              <w:right w:val="single" w:sz="4" w:space="0" w:color="000000"/>
            </w:tcBorders>
          </w:tcPr>
          <w:p>
            <w:pPr>
              <w:pStyle w:val="normal1"/>
              <w:rPr>
                <w:color w:val="000000"/>
                <w:sz w:val="18"/>
                <w:szCs w:val="18"/>
              </w:rPr>
            </w:pPr>
            <w:r>
              <w:rPr>
                <w:color w:val="000000"/>
                <w:sz w:val="18"/>
                <w:szCs w:val="18"/>
              </w:rPr>
              <w:t>Quais são as cinco sugestões práticas?</w:t>
            </w:r>
          </w:p>
        </w:tc>
        <w:tc>
          <w:tcPr>
            <w:tcW w:w="7421" w:type="dxa"/>
            <w:tcBorders>
              <w:left w:val="single" w:sz="4" w:space="0" w:color="000000"/>
              <w:bottom w:val="single" w:sz="4" w:space="0" w:color="000000"/>
              <w:right w:val="single" w:sz="4" w:space="0" w:color="000000"/>
            </w:tcBorders>
          </w:tcPr>
          <w:p>
            <w:pPr>
              <w:pStyle w:val="normal1"/>
              <w:numPr>
                <w:ilvl w:val="0"/>
                <w:numId w:val="0"/>
              </w:numPr>
              <w:ind w:hanging="0" w:left="720"/>
              <w:rPr>
                <w:color w:val="000000"/>
                <w:sz w:val="18"/>
                <w:szCs w:val="18"/>
              </w:rPr>
            </w:pPr>
            <w:r>
              <w:rPr>
                <w:color w:val="000000"/>
                <w:sz w:val="18"/>
                <w:szCs w:val="18"/>
              </w:rPr>
              <w:t>1) Cultivar o desejo de aprender; 2) Fazer o trabalho (obedecer às leis do aprendizado); 3) Fazer coisas que tragam o Espírito (orar, jejuar, servir, frequentar o templo); 4) Negar-se a toda iniquidade; 5) Confiar que com Deus todas as coisas são possíveis.</w:t>
            </w:r>
          </w:p>
        </w:tc>
      </w:tr>
      <w:tr>
        <w:trPr>
          <w:trHeight w:val="898" w:hRule="atLeast"/>
        </w:trPr>
        <w:tc>
          <w:tcPr>
            <w:tcW w:w="2154" w:type="dxa"/>
            <w:tcBorders>
              <w:left w:val="single" w:sz="4" w:space="0" w:color="000000"/>
              <w:bottom w:val="single" w:sz="4" w:space="0" w:color="000000"/>
              <w:right w:val="single" w:sz="4" w:space="0" w:color="000000"/>
            </w:tcBorders>
          </w:tcPr>
          <w:p>
            <w:pPr>
              <w:pStyle w:val="normal1"/>
              <w:rPr>
                <w:color w:val="000000"/>
                <w:sz w:val="18"/>
                <w:szCs w:val="18"/>
              </w:rPr>
            </w:pPr>
            <w:r>
              <w:rPr>
                <w:color w:val="000000"/>
                <w:sz w:val="18"/>
                <w:szCs w:val="18"/>
              </w:rPr>
              <w:t>O que a história do Élder Widtsoe nos ensina?</w:t>
            </w:r>
          </w:p>
        </w:tc>
        <w:tc>
          <w:tcPr>
            <w:tcW w:w="7421" w:type="dxa"/>
            <w:tcBorders>
              <w:left w:val="single" w:sz="4" w:space="0" w:color="000000"/>
              <w:bottom w:val="single" w:sz="4" w:space="0" w:color="000000"/>
              <w:right w:val="single" w:sz="4" w:space="0" w:color="000000"/>
            </w:tcBorders>
          </w:tcPr>
          <w:p>
            <w:pPr>
              <w:pStyle w:val="normal1"/>
              <w:numPr>
                <w:ilvl w:val="0"/>
                <w:numId w:val="0"/>
              </w:numPr>
              <w:ind w:hanging="0" w:left="720"/>
              <w:rPr>
                <w:color w:val="000000"/>
                <w:sz w:val="18"/>
                <w:szCs w:val="18"/>
              </w:rPr>
            </w:pPr>
            <w:r>
              <w:rPr>
                <w:color w:val="000000"/>
                <w:sz w:val="18"/>
                <w:szCs w:val="18"/>
              </w:rPr>
              <w:t>John A. Widtsoe trabalhou anos em uma fórmula científica, desistiu, foi ao templo com a esposa e lá recebeu a solução. O templo é um lugar sagrado onde podemos receber entendimento.</w:t>
            </w:r>
          </w:p>
        </w:tc>
      </w:tr>
      <w:tr>
        <w:trPr>
          <w:trHeight w:val="898" w:hRule="atLeast"/>
        </w:trPr>
        <w:tc>
          <w:tcPr>
            <w:tcW w:w="2154" w:type="dxa"/>
            <w:tcBorders>
              <w:left w:val="single" w:sz="4" w:space="0" w:color="000000"/>
              <w:bottom w:val="single" w:sz="4" w:space="0" w:color="000000"/>
              <w:right w:val="single" w:sz="4" w:space="0" w:color="000000"/>
            </w:tcBorders>
          </w:tcPr>
          <w:p>
            <w:pPr>
              <w:pStyle w:val="normal1"/>
              <w:rPr>
                <w:color w:val="000000"/>
                <w:sz w:val="18"/>
                <w:szCs w:val="18"/>
              </w:rPr>
            </w:pPr>
            <w:r>
              <w:rPr>
                <w:color w:val="000000"/>
                <w:sz w:val="18"/>
                <w:szCs w:val="18"/>
              </w:rPr>
              <w:t>Deixe este espaço em branco</w:t>
            </w:r>
          </w:p>
        </w:tc>
        <w:tc>
          <w:tcPr>
            <w:tcW w:w="7421" w:type="dxa"/>
            <w:tcBorders>
              <w:left w:val="single" w:sz="4" w:space="0" w:color="000000"/>
              <w:bottom w:val="single" w:sz="4" w:space="0" w:color="000000"/>
              <w:right w:val="single" w:sz="4" w:space="0" w:color="000000"/>
            </w:tcBorders>
          </w:tcPr>
          <w:p>
            <w:pPr>
              <w:pStyle w:val="normal1"/>
              <w:widowControl/>
              <w:bidi w:val="0"/>
              <w:spacing w:before="0" w:after="0"/>
              <w:ind w:hanging="0" w:left="850" w:right="113"/>
              <w:jc w:val="both"/>
              <w:rPr>
                <w:color w:val="000000"/>
              </w:rPr>
            </w:pPr>
            <w:r>
              <w:rPr>
                <w:b/>
                <w:color w:val="000000"/>
              </w:rPr>
              <w:t>Resumo</w:t>
            </w:r>
          </w:p>
          <w:p>
            <w:pPr>
              <w:pStyle w:val="normal1"/>
              <w:widowControl/>
              <w:bidi w:val="0"/>
              <w:spacing w:before="0" w:after="0"/>
              <w:ind w:hanging="0" w:left="794" w:right="567"/>
              <w:jc w:val="both"/>
              <w:rPr>
                <w:color w:val="000000"/>
              </w:rPr>
            </w:pPr>
            <w:r>
              <w:rPr>
                <w:color w:val="000000"/>
                <w:sz w:val="18"/>
                <w:szCs w:val="18"/>
              </w:rPr>
              <w:t>O resumo deve conter um registro de alta qualidade que resuma a coluna de anotações.</w:t>
            </w:r>
          </w:p>
          <w:p>
            <w:pPr>
              <w:pStyle w:val="normal1"/>
              <w:widowControl/>
              <w:bidi w:val="0"/>
              <w:spacing w:before="0" w:after="0"/>
              <w:ind w:hanging="0" w:left="794" w:right="567"/>
              <w:jc w:val="both"/>
              <w:rPr>
                <w:sz w:val="18"/>
                <w:szCs w:val="18"/>
              </w:rPr>
            </w:pPr>
            <w:r>
              <w:rPr>
                <w:color w:val="000000"/>
              </w:rPr>
            </w:r>
          </w:p>
          <w:p>
            <w:pPr>
              <w:pStyle w:val="normal1"/>
              <w:widowControl/>
              <w:bidi w:val="0"/>
              <w:spacing w:before="0" w:after="0"/>
              <w:ind w:hanging="0" w:left="794" w:right="567"/>
              <w:jc w:val="both"/>
              <w:rPr>
                <w:color w:val="000000"/>
              </w:rPr>
            </w:pPr>
            <w:r>
              <w:rPr>
                <w:color w:val="000000"/>
                <w:sz w:val="18"/>
                <w:szCs w:val="18"/>
              </w:rPr>
              <w:t>O artigo ensina que o aprendizado verdadeiro é um esforço espiritual, não apenas intelectual. O autor, Brian K. Ashton, compartilha sua própria luta para aprender idiomas e música, mostrando que quando buscamos ativamente a ajuda do Senhor, podemos superar dificuldades que parecem intransponíveis. Quatro princípios fundamentais são apresentados: a verdade é compreendida pelo Espírito Santo, precisamos obedecer às leis do aprendizado, Deus pode acelerar nossa compreensão, e a fé em Cristo nos dá poder para aprender além de nossas capacidades naturais. Além disso, cinco sugestões práticas mostram como aplicar esses princípios no dia a dia — desde cultivar o desejo de aprender até confiar que Deus pode fazer o impossível. A história do Élder Widtsoe, que recebeu uma solução científica no templo, ilustra que aprender em lugares santos pode trazer</w:t>
            </w:r>
            <w:r>
              <w:rPr>
                <w:color w:val="000000"/>
              </w:rPr>
              <w:t xml:space="preserve"> </w:t>
            </w:r>
            <w:r>
              <w:rPr>
                <w:color w:val="000000"/>
                <w:sz w:val="18"/>
                <w:szCs w:val="18"/>
              </w:rPr>
              <w:t>revelação e entendimento que não alcançamos apenas com nosso esforço.</w:t>
            </w:r>
          </w:p>
        </w:tc>
      </w:tr>
    </w:tbl>
    <w:p>
      <w:pPr>
        <w:pStyle w:val="normal1"/>
        <w:rPr>
          <w:color w:val="000000"/>
        </w:rPr>
      </w:pPr>
      <w:r>
        <w:rPr>
          <w:color w:val="000000"/>
        </w:rPr>
        <w:t xml:space="preserve"> </w:t>
      </w:r>
    </w:p>
    <w:p>
      <w:pPr>
        <w:pStyle w:val="normal1"/>
        <w:rPr>
          <w:color w:val="000000"/>
        </w:rPr>
      </w:pPr>
      <w:r>
        <w:rPr>
          <w:rFonts w:eastAsia="Cambria" w:cs="Cambria" w:ascii="Cambria" w:hAnsi="Cambria"/>
          <w:color w:val="000000"/>
          <w:sz w:val="20"/>
          <w:szCs w:val="20"/>
        </w:rPr>
        <w:t>*Uma resposta de alta qualidade é uma resposta desenvolvida. Isso significa que inclui todos os seguintes elementos:</w:t>
      </w:r>
    </w:p>
    <w:p>
      <w:pPr>
        <w:pStyle w:val="normal1"/>
        <w:keepNext w:val="false"/>
        <w:keepLines w:val="false"/>
        <w:pageBreakBefore w:val="false"/>
        <w:widowControl/>
        <w:numPr>
          <w:ilvl w:val="0"/>
          <w:numId w:val="5"/>
        </w:numPr>
        <w:pBdr/>
        <w:shd w:val="clear" w:fill="auto"/>
        <w:spacing w:lineRule="auto" w:line="276" w:before="0" w:after="0"/>
        <w:ind w:hanging="360" w:left="720" w:right="0"/>
        <w:jc w:val="left"/>
        <w:rPr>
          <w:color w:val="000000"/>
        </w:rPr>
      </w:pPr>
      <w:r>
        <w:rPr>
          <w:rFonts w:eastAsia="Cambria" w:cs="Cambria" w:ascii="Cambria" w:hAnsi="Cambria"/>
          <w:b w:val="false"/>
          <w:i w:val="false"/>
          <w:caps w:val="false"/>
          <w:smallCaps w:val="false"/>
          <w:strike w:val="false"/>
          <w:dstrike w:val="false"/>
          <w:color w:val="000000"/>
          <w:position w:val="0"/>
          <w:sz w:val="20"/>
          <w:sz w:val="20"/>
          <w:szCs w:val="20"/>
          <w:u w:val="none"/>
          <w:shd w:fill="auto" w:val="clear"/>
          <w:vertAlign w:val="baseline"/>
        </w:rPr>
        <w:t xml:space="preserve">É </w:t>
      </w:r>
      <w:r>
        <w:rPr>
          <w:rFonts w:eastAsia="Cambria" w:cs="Cambria" w:ascii="Cambria" w:hAnsi="Cambria"/>
          <w:b/>
          <w:i w:val="false"/>
          <w:caps w:val="false"/>
          <w:smallCaps w:val="false"/>
          <w:strike w:val="false"/>
          <w:dstrike w:val="false"/>
          <w:color w:val="000000"/>
          <w:position w:val="0"/>
          <w:sz w:val="20"/>
          <w:sz w:val="20"/>
          <w:szCs w:val="20"/>
          <w:u w:val="none"/>
          <w:shd w:fill="auto" w:val="clear"/>
          <w:vertAlign w:val="baseline"/>
        </w:rPr>
        <w:t>relevante</w:t>
      </w:r>
      <w:r>
        <w:rPr>
          <w:rFonts w:eastAsia="Cambria" w:cs="Cambria" w:ascii="Cambria" w:hAnsi="Cambria"/>
          <w:b w:val="false"/>
          <w:i w:val="false"/>
          <w:caps w:val="false"/>
          <w:smallCaps w:val="false"/>
          <w:strike w:val="false"/>
          <w:dstrike w:val="false"/>
          <w:color w:val="000000"/>
          <w:position w:val="0"/>
          <w:sz w:val="20"/>
          <w:sz w:val="20"/>
          <w:szCs w:val="20"/>
          <w:u w:val="none"/>
          <w:shd w:fill="auto" w:val="clear"/>
          <w:vertAlign w:val="baseline"/>
        </w:rPr>
        <w:t xml:space="preserve"> para a pergunta;</w:t>
      </w:r>
    </w:p>
    <w:p>
      <w:pPr>
        <w:pStyle w:val="normal1"/>
        <w:keepNext w:val="false"/>
        <w:keepLines w:val="false"/>
        <w:pageBreakBefore w:val="false"/>
        <w:widowControl/>
        <w:numPr>
          <w:ilvl w:val="0"/>
          <w:numId w:val="5"/>
        </w:numPr>
        <w:pBdr/>
        <w:shd w:val="clear" w:fill="auto"/>
        <w:spacing w:lineRule="auto" w:line="276" w:before="0" w:after="0"/>
        <w:ind w:hanging="360" w:left="720" w:right="0"/>
        <w:jc w:val="left"/>
        <w:rPr>
          <w:color w:val="000000"/>
        </w:rPr>
      </w:pPr>
      <w:r>
        <w:rPr>
          <w:rFonts w:eastAsia="Cambria" w:cs="Cambria" w:ascii="Cambria" w:hAnsi="Cambria"/>
          <w:b/>
          <w:i w:val="false"/>
          <w:caps w:val="false"/>
          <w:smallCaps w:val="false"/>
          <w:strike w:val="false"/>
          <w:dstrike w:val="false"/>
          <w:color w:val="000000"/>
          <w:position w:val="0"/>
          <w:sz w:val="20"/>
          <w:sz w:val="20"/>
          <w:szCs w:val="20"/>
          <w:u w:val="none"/>
          <w:shd w:fill="auto" w:val="clear"/>
          <w:vertAlign w:val="baseline"/>
        </w:rPr>
        <w:t xml:space="preserve">Mostra seu pensamento </w:t>
      </w:r>
      <w:r>
        <w:rPr>
          <w:rFonts w:eastAsia="Cambria" w:cs="Cambria" w:ascii="Cambria" w:hAnsi="Cambria"/>
          <w:b w:val="false"/>
          <w:i w:val="false"/>
          <w:caps w:val="false"/>
          <w:smallCaps w:val="false"/>
          <w:strike w:val="false"/>
          <w:dstrike w:val="false"/>
          <w:color w:val="000000"/>
          <w:position w:val="0"/>
          <w:sz w:val="20"/>
          <w:sz w:val="20"/>
          <w:szCs w:val="20"/>
          <w:u w:val="none"/>
          <w:shd w:fill="auto" w:val="clear"/>
          <w:vertAlign w:val="baseline"/>
        </w:rPr>
        <w:t>com uma profundidade razoável.</w:t>
      </w:r>
    </w:p>
    <w:p>
      <w:pPr>
        <w:pStyle w:val="normal1"/>
        <w:rPr>
          <w:rFonts w:ascii="Cambria" w:hAnsi="Cambria" w:eastAsia="Cambria" w:cs="Cambria"/>
          <w:color w:val="000000"/>
          <w:sz w:val="20"/>
          <w:szCs w:val="20"/>
        </w:rPr>
      </w:pPr>
      <w:r>
        <w:rPr>
          <w:rFonts w:eastAsia="Cambria" w:cs="Cambria" w:ascii="Cambria" w:hAnsi="Cambria"/>
          <w:color w:val="000000"/>
          <w:sz w:val="20"/>
          <w:szCs w:val="20"/>
        </w:rPr>
      </w:r>
    </w:p>
    <w:p>
      <w:pPr>
        <w:pStyle w:val="normal1"/>
        <w:rPr>
          <w:color w:val="000000"/>
        </w:rPr>
      </w:pPr>
      <w:r>
        <w:rPr>
          <w:rFonts w:eastAsia="Cambria" w:cs="Cambria" w:ascii="Cambria" w:hAnsi="Cambria"/>
          <w:color w:val="000000"/>
          <w:sz w:val="20"/>
          <w:szCs w:val="20"/>
        </w:rPr>
        <w:t>Veja os dois exemplos abaixo:</w:t>
      </w:r>
    </w:p>
    <w:p>
      <w:pPr>
        <w:pStyle w:val="normal1"/>
        <w:rPr>
          <w:rFonts w:ascii="Cambria" w:hAnsi="Cambria" w:eastAsia="Cambria" w:cs="Cambria"/>
          <w:color w:val="000000"/>
          <w:sz w:val="20"/>
          <w:szCs w:val="20"/>
        </w:rPr>
      </w:pPr>
      <w:r>
        <w:rPr>
          <w:rFonts w:eastAsia="Cambria" w:cs="Cambria" w:ascii="Cambria" w:hAnsi="Cambria"/>
          <w:color w:val="000000"/>
          <w:sz w:val="20"/>
          <w:szCs w:val="20"/>
        </w:rPr>
      </w:r>
    </w:p>
    <w:p>
      <w:pPr>
        <w:pStyle w:val="normal1"/>
        <w:ind w:hanging="0" w:left="720"/>
        <w:rPr>
          <w:color w:val="000000"/>
        </w:rPr>
      </w:pPr>
      <w:r>
        <w:rPr>
          <w:rFonts w:eastAsia="Cambria" w:cs="Cambria" w:ascii="Cambria" w:hAnsi="Cambria"/>
          <w:color w:val="000000"/>
          <w:sz w:val="20"/>
          <w:szCs w:val="20"/>
        </w:rPr>
        <w:t>Baixa Qualidade: O Pai Celestial nos ajuda</w:t>
      </w:r>
    </w:p>
    <w:p>
      <w:pPr>
        <w:pStyle w:val="normal1"/>
        <w:pBdr/>
        <w:ind w:hanging="0" w:left="720"/>
        <w:rPr>
          <w:color w:val="000000"/>
        </w:rPr>
      </w:pPr>
      <w:r>
        <w:rPr>
          <w:rFonts w:eastAsia="Cambria" w:cs="Cambria" w:ascii="Cambria" w:hAnsi="Cambria"/>
          <w:color w:val="000000"/>
          <w:sz w:val="20"/>
          <w:szCs w:val="20"/>
        </w:rPr>
        <w:t>Alta Qualidade: O Pai Celestial nos ajuda a aprender, mas precisamos desejar isso e pedir ajuda.</w:t>
      </w:r>
    </w:p>
    <w:p>
      <w:pPr>
        <w:pStyle w:val="Heading2"/>
        <w:rPr>
          <w:color w:val="000000"/>
        </w:rPr>
      </w:pPr>
      <w:bookmarkStart w:id="3" w:name="_heading=h.1fob9te"/>
      <w:bookmarkEnd w:id="3"/>
      <w:r>
        <w:rPr>
          <w:color w:val="000000"/>
        </w:rPr>
        <w:t>Passo 3</w:t>
      </w:r>
    </w:p>
    <w:p>
      <w:pPr>
        <w:pStyle w:val="normal1"/>
        <w:rPr>
          <w:color w:val="000000"/>
        </w:rPr>
      </w:pPr>
      <w:r>
        <w:rPr>
          <w:b/>
          <w:color w:val="000000"/>
        </w:rPr>
        <w:t xml:space="preserve">Salve </w:t>
      </w:r>
      <w:r>
        <w:rPr>
          <w:color w:val="000000"/>
        </w:rPr>
        <w:t>este documento com seu nome no nome do arquivo e siga as instruções da disciplina para enviá-lo para avaliação e feedback.</w:t>
      </w:r>
    </w:p>
    <w:p>
      <w:pPr>
        <w:pStyle w:val="normal1"/>
        <w:rPr>
          <w:color w:val="000000"/>
        </w:rPr>
      </w:pPr>
      <w:r>
        <w:rPr>
          <w:color w:val="000000"/>
        </w:rPr>
      </w:r>
    </w:p>
    <w:p>
      <w:pPr>
        <w:pStyle w:val="normal1"/>
        <w:rPr>
          <w:color w:val="000000"/>
        </w:rPr>
      </w:pPr>
      <w:r>
        <w:rPr>
          <w:color w:val="000000"/>
        </w:rPr>
      </w:r>
      <w:r>
        <w:br w:type="page"/>
      </w:r>
    </w:p>
    <w:p>
      <w:pPr>
        <w:pStyle w:val="Heading3"/>
        <w:spacing w:before="0" w:after="0"/>
        <w:rPr>
          <w:color w:val="000000"/>
        </w:rPr>
      </w:pPr>
      <w:r>
        <w:rPr>
          <w:color w:val="000000"/>
          <w:sz w:val="32"/>
          <w:szCs w:val="32"/>
        </w:rPr>
        <w:t>Aprender é um Esforço Espiritual</w:t>
      </w:r>
    </w:p>
    <w:p>
      <w:pPr>
        <w:pStyle w:val="normal1"/>
        <w:rPr>
          <w:color w:val="000000"/>
        </w:rPr>
      </w:pPr>
      <w:r>
        <w:rPr>
          <w:color w:val="000000"/>
          <w:sz w:val="22"/>
          <w:szCs w:val="22"/>
        </w:rPr>
        <w:t>Brian K. Ashton, Presidente da BYU-Pathway Worldwide</w:t>
      </w:r>
    </w:p>
    <w:p>
      <w:pPr>
        <w:pStyle w:val="normal1"/>
        <w:rPr>
          <w:color w:val="000000"/>
        </w:rPr>
      </w:pPr>
      <w:r>
        <w:rPr>
          <w:color w:val="000000"/>
        </w:rPr>
      </w:r>
    </w:p>
    <w:p>
      <w:pPr>
        <w:pStyle w:val="normal1"/>
        <w:pBdr/>
        <w:spacing w:lineRule="auto" w:line="240" w:before="0" w:after="120"/>
        <w:rPr>
          <w:color w:val="000000"/>
        </w:rPr>
      </w:pPr>
      <w:r>
        <w:rPr>
          <w:rFonts w:eastAsia="Cambria" w:cs="Cambria" w:ascii="Cambria" w:hAnsi="Cambria"/>
          <w:color w:val="000000"/>
          <w:sz w:val="22"/>
          <w:szCs w:val="22"/>
        </w:rPr>
        <w:t xml:space="preserve">Eu sei o que significa ter dificuldades para aprender. Quando criança, tentei aprender a tocar piano. </w:t>
      </w:r>
      <w:r>
        <w:rPr>
          <w:color w:val="000000"/>
          <w:sz w:val="22"/>
          <w:szCs w:val="22"/>
        </w:rPr>
        <w:t>No entanto, isso era tão difícil para mim e eu era tão ruim nisso que minha professora de piano disse à minha mãe que deveria me deixar desistir.</w:t>
      </w:r>
      <w:r>
        <w:rPr>
          <w:rFonts w:eastAsia="Cambria" w:cs="Cambria" w:ascii="Cambria" w:hAnsi="Cambria"/>
          <w:color w:val="000000"/>
          <w:sz w:val="22"/>
          <w:szCs w:val="22"/>
        </w:rPr>
        <w:t xml:space="preserve">. Mais tarde, durante meus estudos universitários, tentei aprender mandarim. Isso foi tão difícil que meu professor acabou me encaminhando para fazer exames a fim de entender o por que de eu ter tanta dificuldade. Esses exames revelaram que tenho dificuldade em ouvir certos sons, o que torna aprender a tocar música e falar línguas </w:t>
      </w:r>
      <w:r>
        <w:rPr>
          <w:rFonts w:eastAsia="Cambria" w:cs="Cambria" w:ascii="Cambria" w:hAnsi="Cambria"/>
          <w:color w:val="000000"/>
          <w:sz w:val="22"/>
          <w:szCs w:val="22"/>
        </w:rPr>
        <w:t>estrangeiras, algo</w:t>
      </w:r>
      <w:r>
        <w:rPr>
          <w:rFonts w:eastAsia="Cambria" w:cs="Cambria" w:ascii="Cambria" w:hAnsi="Cambria"/>
          <w:color w:val="000000"/>
          <w:sz w:val="22"/>
          <w:szCs w:val="22"/>
        </w:rPr>
        <w:t xml:space="preserve"> muito difícil pra mim.</w:t>
      </w:r>
    </w:p>
    <w:p>
      <w:pPr>
        <w:pStyle w:val="normal1"/>
        <w:pBdr/>
        <w:spacing w:lineRule="auto" w:line="240" w:before="0" w:after="120"/>
        <w:rPr>
          <w:color w:val="000000"/>
        </w:rPr>
      </w:pPr>
      <w:r>
        <w:rPr>
          <w:rFonts w:eastAsia="Cambria" w:cs="Cambria" w:ascii="Cambria" w:hAnsi="Cambria"/>
          <w:color w:val="000000"/>
          <w:sz w:val="22"/>
          <w:szCs w:val="22"/>
        </w:rPr>
        <w:t>Imaginem minha surpresa e desânimo quando, após meu primeiro ano de universidade, fui chamado para servir em uma missão de língua espanhola no Peru. Aprender espanhol não foi fácil. Eu era o pior falante de espanhol do meu distrito no Centro de Treinamento Missionário. E levei muito mais tempo do que meus colegas missionários para aprender espanhol. Mas hoje, com a ajuda do Senhor, falo espanhol bem.</w:t>
      </w:r>
    </w:p>
    <w:p>
      <w:pPr>
        <w:pStyle w:val="normal1"/>
        <w:pBdr/>
        <w:spacing w:lineRule="auto" w:line="240" w:before="0" w:after="120"/>
        <w:rPr>
          <w:color w:val="000000"/>
        </w:rPr>
      </w:pPr>
      <w:r>
        <w:rPr>
          <w:rFonts w:eastAsia="Cambria" w:cs="Cambria" w:ascii="Cambria" w:hAnsi="Cambria"/>
          <w:color w:val="000000"/>
          <w:sz w:val="22"/>
          <w:szCs w:val="22"/>
        </w:rPr>
        <w:t xml:space="preserve">Muitas vezes, perguntei-me </w:t>
      </w:r>
      <w:r>
        <w:rPr>
          <w:rFonts w:eastAsia="Cambria" w:cs="Cambria" w:ascii="Cambria" w:hAnsi="Cambria"/>
          <w:color w:val="000000"/>
          <w:sz w:val="22"/>
          <w:szCs w:val="22"/>
        </w:rPr>
        <w:t>por que</w:t>
      </w:r>
      <w:r>
        <w:rPr>
          <w:rFonts w:eastAsia="Cambria" w:cs="Cambria" w:ascii="Cambria" w:hAnsi="Cambria"/>
          <w:color w:val="000000"/>
          <w:sz w:val="22"/>
          <w:szCs w:val="22"/>
        </w:rPr>
        <w:t xml:space="preserve"> consegui aprender espanhol, mas não consegui aprender a tocar piano ou a falar mandarim. Percebi que fiz dos meus esforços para aprender a tocar piano e falar mandarim atividades puramente seculares </w:t>
      </w:r>
      <w:r>
        <w:rPr>
          <w:color w:val="000000"/>
          <w:sz w:val="22"/>
          <w:szCs w:val="22"/>
        </w:rPr>
        <w:t>—</w:t>
      </w:r>
      <w:r>
        <w:rPr>
          <w:rFonts w:eastAsia="Cambria" w:cs="Cambria" w:ascii="Cambria" w:hAnsi="Cambria"/>
          <w:color w:val="000000"/>
          <w:sz w:val="22"/>
          <w:szCs w:val="22"/>
        </w:rPr>
        <w:t xml:space="preserve"> não envolvi o Senhor nas minhas tentativas de aprender. No entanto, ao aprender espanhol, busquei ativamente a ajuda do Senhor. </w:t>
      </w:r>
      <w:r>
        <w:rPr>
          <w:color w:val="000000"/>
          <w:sz w:val="22"/>
          <w:szCs w:val="22"/>
        </w:rPr>
        <w:t>Mesmo que aprender espanhol tenha sido extremamente difícil para mim, com a ajuda de Deus consegui persistir no esforço necessário e superar os desafios que me atrapalhavam ao aprender piano e mandarim.</w:t>
      </w:r>
      <w:r>
        <w:rPr>
          <w:b/>
          <w:color w:val="000000"/>
          <w:sz w:val="22"/>
          <w:szCs w:val="22"/>
        </w:rPr>
        <w:t xml:space="preserve"> </w:t>
      </w:r>
    </w:p>
    <w:p>
      <w:pPr>
        <w:pStyle w:val="normal1"/>
        <w:pBdr/>
        <w:spacing w:lineRule="auto" w:line="240" w:before="0" w:after="120"/>
        <w:rPr>
          <w:color w:val="000000"/>
        </w:rPr>
      </w:pPr>
      <w:r>
        <w:rPr>
          <w:b/>
          <w:color w:val="000000"/>
          <w:sz w:val="22"/>
          <w:szCs w:val="22"/>
        </w:rPr>
        <w:t>Superar as Dificuldades de Aprendizado</w:t>
      </w:r>
    </w:p>
    <w:p>
      <w:pPr>
        <w:pStyle w:val="normal1"/>
        <w:pBdr/>
        <w:spacing w:lineRule="auto" w:line="240" w:before="0" w:after="120"/>
        <w:rPr>
          <w:color w:val="000000"/>
        </w:rPr>
      </w:pPr>
      <w:r>
        <w:rPr>
          <w:rFonts w:eastAsia="Cambria" w:cs="Cambria" w:ascii="Cambria" w:hAnsi="Cambria"/>
          <w:color w:val="000000"/>
          <w:sz w:val="22"/>
          <w:szCs w:val="22"/>
        </w:rPr>
        <w:t>Hoje, gostaria de conversar com você sobre como você pode superar suas próprias dificuldades para aprender ao obter a ajuda de Deus.</w:t>
      </w:r>
      <w:r>
        <w:rPr>
          <w:rStyle w:val="FootnoteReference"/>
          <w:rFonts w:eastAsia="Cambria" w:cs="Cambria" w:ascii="Cambria" w:hAnsi="Cambria"/>
          <w:color w:val="000000"/>
          <w:sz w:val="22"/>
          <w:szCs w:val="22"/>
          <w:vertAlign w:val="superscript"/>
        </w:rPr>
        <w:footnoteReference w:id="2"/>
      </w:r>
      <w:r>
        <w:rPr>
          <w:rFonts w:eastAsia="Cambria" w:cs="Cambria" w:ascii="Cambria" w:hAnsi="Cambria"/>
          <w:color w:val="000000"/>
          <w:sz w:val="22"/>
          <w:szCs w:val="22"/>
        </w:rPr>
        <w:t xml:space="preserve"> </w:t>
      </w:r>
    </w:p>
    <w:p>
      <w:pPr>
        <w:pStyle w:val="normal1"/>
        <w:pBdr/>
        <w:spacing w:lineRule="auto" w:line="240" w:before="0" w:after="120"/>
        <w:rPr>
          <w:color w:val="000000"/>
        </w:rPr>
      </w:pPr>
      <w:r>
        <w:rPr>
          <w:rFonts w:eastAsia="Cambria" w:cs="Cambria" w:ascii="Cambria" w:hAnsi="Cambria"/>
          <w:color w:val="000000"/>
          <w:sz w:val="22"/>
          <w:szCs w:val="22"/>
        </w:rPr>
        <w:t>As escrituras e as palavras dos profetas nos ensinam quatro princípios que nos permitem ter acesso à ajuda de Deus para aprender.</w:t>
      </w:r>
    </w:p>
    <w:p>
      <w:pPr>
        <w:pStyle w:val="normal1"/>
        <w:numPr>
          <w:ilvl w:val="0"/>
          <w:numId w:val="3"/>
        </w:numPr>
        <w:pBdr/>
        <w:spacing w:lineRule="auto" w:line="240" w:before="0" w:after="120"/>
        <w:ind w:hanging="360" w:left="720"/>
        <w:rPr>
          <w:color w:val="000000"/>
        </w:rPr>
      </w:pPr>
      <w:r>
        <w:rPr>
          <w:rFonts w:eastAsia="Cambria" w:cs="Cambria" w:ascii="Cambria" w:hAnsi="Cambria"/>
          <w:color w:val="000000"/>
          <w:sz w:val="22"/>
          <w:szCs w:val="22"/>
        </w:rPr>
        <w:t>O primeiro princípio é que toda verdade se torna compreensível para nós pela Luz de Cristo e do Espírito Santo. Na verdade, o Élder David A. Bednar ensinou que: “O Espírito Santo é (…) o professor e a testemunha de toda a verdade”.</w:t>
      </w:r>
      <w:r>
        <w:rPr>
          <w:rStyle w:val="FootnoteReference"/>
          <w:rFonts w:eastAsia="Cambria" w:cs="Cambria" w:ascii="Cambria" w:hAnsi="Cambria"/>
          <w:color w:val="000000"/>
          <w:sz w:val="22"/>
          <w:szCs w:val="22"/>
          <w:vertAlign w:val="superscript"/>
        </w:rPr>
        <w:footnoteReference w:id="3"/>
      </w:r>
    </w:p>
    <w:p>
      <w:pPr>
        <w:pStyle w:val="normal1"/>
        <w:numPr>
          <w:ilvl w:val="0"/>
          <w:numId w:val="3"/>
        </w:numPr>
        <w:pBdr/>
        <w:spacing w:lineRule="auto" w:line="240" w:before="0" w:after="120"/>
        <w:ind w:hanging="360" w:left="720"/>
        <w:rPr>
          <w:color w:val="000000"/>
        </w:rPr>
      </w:pPr>
      <w:r>
        <w:rPr>
          <w:rFonts w:eastAsia="Cambria" w:cs="Cambria" w:ascii="Cambria" w:hAnsi="Cambria"/>
          <w:color w:val="000000"/>
          <w:sz w:val="22"/>
          <w:szCs w:val="22"/>
        </w:rPr>
        <w:t>O segundo princípio é que, para aprender a verdade, devemos obedecer às leis que nos permitem compreender esse princípio da verdade. O Senhor ensinou: “E q</w:t>
      </w:r>
      <w:r>
        <w:rPr>
          <w:color w:val="000000"/>
          <w:sz w:val="22"/>
          <w:szCs w:val="22"/>
        </w:rPr>
        <w:t>uando recebemos uma bênção de Deus, é por obediência à lei na qual ela se baseia.</w:t>
      </w:r>
      <w:r>
        <w:rPr>
          <w:rFonts w:eastAsia="Cambria" w:cs="Cambria" w:ascii="Cambria" w:hAnsi="Cambria"/>
          <w:color w:val="000000"/>
          <w:sz w:val="22"/>
          <w:szCs w:val="22"/>
        </w:rPr>
        <w:t>”</w:t>
      </w:r>
      <w:r>
        <w:rPr>
          <w:rStyle w:val="FootnoteReference"/>
          <w:rFonts w:eastAsia="Cambria" w:cs="Cambria" w:ascii="Cambria" w:hAnsi="Cambria"/>
          <w:color w:val="000000"/>
          <w:sz w:val="22"/>
          <w:szCs w:val="22"/>
          <w:vertAlign w:val="superscript"/>
        </w:rPr>
        <w:footnoteReference w:id="4"/>
      </w:r>
      <w:r>
        <w:rPr>
          <w:rFonts w:eastAsia="Cambria" w:cs="Cambria" w:ascii="Cambria" w:hAnsi="Cambria"/>
          <w:color w:val="000000"/>
          <w:sz w:val="22"/>
          <w:szCs w:val="22"/>
        </w:rPr>
        <w:t xml:space="preserve"> </w:t>
      </w:r>
      <w:r>
        <w:rPr>
          <w:color w:val="000000"/>
          <w:sz w:val="22"/>
          <w:szCs w:val="22"/>
        </w:rPr>
        <w:t>Isso significa que, se quero aprender álgebra, preciso obedecer às leis sobre as quais o aprendizado da álgebra se baseia.</w:t>
      </w:r>
      <w:r>
        <w:rPr>
          <w:rFonts w:eastAsia="Cambria" w:cs="Cambria" w:ascii="Cambria" w:hAnsi="Cambria"/>
          <w:color w:val="000000"/>
          <w:sz w:val="22"/>
          <w:szCs w:val="22"/>
        </w:rPr>
        <w:t xml:space="preserve"> </w:t>
      </w:r>
    </w:p>
    <w:p>
      <w:pPr>
        <w:pStyle w:val="normal1"/>
        <w:numPr>
          <w:ilvl w:val="0"/>
          <w:numId w:val="3"/>
        </w:numPr>
        <w:pBdr/>
        <w:spacing w:lineRule="auto" w:line="240" w:before="0" w:after="120"/>
        <w:ind w:hanging="360" w:left="720"/>
        <w:rPr>
          <w:color w:val="000000"/>
        </w:rPr>
      </w:pPr>
      <w:r>
        <w:rPr>
          <w:rFonts w:eastAsia="Cambria" w:cs="Cambria" w:ascii="Cambria" w:hAnsi="Cambria"/>
          <w:color w:val="000000"/>
          <w:sz w:val="22"/>
          <w:szCs w:val="22"/>
        </w:rPr>
        <w:t>O terceiro princípio é que Deus pode acelerar ou aumentar a nossa capacidade de compreender ou de aprender. Isaías escreveu que foi o Espírito Santo que fez Jesus ter “entendimento rápido”.</w:t>
      </w:r>
      <w:r>
        <w:rPr>
          <w:rStyle w:val="FootnoteReference"/>
          <w:rFonts w:eastAsia="Cambria" w:cs="Cambria" w:ascii="Cambria" w:hAnsi="Cambria"/>
          <w:color w:val="000000"/>
          <w:sz w:val="22"/>
          <w:szCs w:val="22"/>
          <w:vertAlign w:val="superscript"/>
        </w:rPr>
        <w:footnoteReference w:id="5"/>
      </w:r>
      <w:r>
        <w:rPr>
          <w:rFonts w:eastAsia="Cambria" w:cs="Cambria" w:ascii="Cambria" w:hAnsi="Cambria"/>
          <w:color w:val="000000"/>
          <w:sz w:val="22"/>
          <w:szCs w:val="22"/>
        </w:rPr>
        <w:t xml:space="preserve"> A Seção 88 de Doutrina e Convênios ensina que a Luz de Cristo é a luz “que vivifica vosso entendimento”.</w:t>
      </w:r>
      <w:r>
        <w:rPr>
          <w:rStyle w:val="FootnoteReference"/>
          <w:rFonts w:eastAsia="Cambria" w:cs="Cambria" w:ascii="Cambria" w:hAnsi="Cambria"/>
          <w:color w:val="000000"/>
          <w:sz w:val="22"/>
          <w:szCs w:val="22"/>
          <w:vertAlign w:val="superscript"/>
        </w:rPr>
        <w:footnoteReference w:id="6"/>
      </w:r>
    </w:p>
    <w:p>
      <w:pPr>
        <w:pStyle w:val="normal1"/>
        <w:numPr>
          <w:ilvl w:val="0"/>
          <w:numId w:val="3"/>
        </w:numPr>
        <w:pBdr/>
        <w:spacing w:lineRule="auto" w:line="240" w:before="0" w:after="120"/>
        <w:ind w:hanging="360" w:left="720"/>
        <w:rPr>
          <w:color w:val="000000"/>
        </w:rPr>
      </w:pPr>
      <w:r>
        <w:rPr>
          <w:rFonts w:eastAsia="Cambria" w:cs="Cambria" w:ascii="Cambria" w:hAnsi="Cambria"/>
          <w:color w:val="000000"/>
          <w:sz w:val="22"/>
          <w:szCs w:val="22"/>
        </w:rPr>
        <w:t>Finalmente, o quarto princípio é que, se exercermos fé no Salvador, teremos “poder para fazer tudo quanto for conveniente em Cristo”.</w:t>
      </w:r>
      <w:r>
        <w:rPr>
          <w:rStyle w:val="FootnoteReference"/>
          <w:rFonts w:eastAsia="Cambria" w:cs="Cambria" w:ascii="Cambria" w:hAnsi="Cambria"/>
          <w:color w:val="000000"/>
          <w:sz w:val="22"/>
          <w:szCs w:val="22"/>
          <w:vertAlign w:val="superscript"/>
        </w:rPr>
        <w:footnoteReference w:id="7"/>
      </w:r>
      <w:r>
        <w:rPr>
          <w:rFonts w:eastAsia="Cambria" w:cs="Cambria" w:ascii="Cambria" w:hAnsi="Cambria"/>
          <w:color w:val="000000"/>
          <w:sz w:val="22"/>
          <w:szCs w:val="22"/>
        </w:rPr>
        <w:t xml:space="preserve"> Entendo que isso significa que quando for a vontade do Senhor, podemos:</w:t>
      </w:r>
    </w:p>
    <w:p>
      <w:pPr>
        <w:pStyle w:val="normal1"/>
        <w:numPr>
          <w:ilvl w:val="0"/>
          <w:numId w:val="4"/>
        </w:numPr>
        <w:pBdr/>
        <w:ind w:hanging="360" w:left="1440"/>
        <w:rPr>
          <w:color w:val="000000"/>
        </w:rPr>
      </w:pPr>
      <w:r>
        <w:rPr>
          <w:rFonts w:eastAsia="Cambria" w:cs="Cambria" w:ascii="Cambria" w:hAnsi="Cambria"/>
          <w:color w:val="000000"/>
          <w:sz w:val="20"/>
          <w:szCs w:val="20"/>
        </w:rPr>
        <w:t>Superar ou contornar desafios ao nosso aprendizado;</w:t>
      </w:r>
    </w:p>
    <w:p>
      <w:pPr>
        <w:pStyle w:val="normal1"/>
        <w:numPr>
          <w:ilvl w:val="0"/>
          <w:numId w:val="4"/>
        </w:numPr>
        <w:pBdr/>
        <w:ind w:hanging="360" w:left="1440"/>
        <w:rPr>
          <w:color w:val="000000"/>
        </w:rPr>
      </w:pPr>
      <w:r>
        <w:rPr>
          <w:rFonts w:eastAsia="Cambria" w:cs="Cambria" w:ascii="Cambria" w:hAnsi="Cambria"/>
          <w:color w:val="000000"/>
          <w:sz w:val="20"/>
          <w:szCs w:val="20"/>
        </w:rPr>
        <w:t>Desenvolver talentos que não nos são naturais (como no meu caso, aprender espanhol);</w:t>
      </w:r>
    </w:p>
    <w:p>
      <w:pPr>
        <w:sectPr>
          <w:footnotePr>
            <w:numFmt w:val="decimal"/>
          </w:footnotePr>
          <w:type w:val="nextPage"/>
          <w:pgSz w:w="12240" w:h="15840"/>
          <w:pgMar w:left="1440" w:right="1440" w:gutter="0" w:header="0" w:top="693" w:footer="0" w:bottom="774"/>
          <w:pgNumType w:start="1" w:fmt="decimal"/>
          <w:formProt w:val="false"/>
          <w:textDirection w:val="lrTb"/>
          <w:docGrid w:type="default" w:linePitch="100" w:charSpace="0"/>
        </w:sectPr>
        <w:pStyle w:val="normal1"/>
        <w:numPr>
          <w:ilvl w:val="0"/>
          <w:numId w:val="4"/>
        </w:numPr>
        <w:pBdr/>
        <w:ind w:hanging="360" w:left="1440"/>
        <w:rPr>
          <w:color w:val="000000"/>
        </w:rPr>
      </w:pPr>
      <w:r>
        <w:rPr>
          <w:rFonts w:eastAsia="Cambria" w:cs="Cambria" w:ascii="Cambria" w:hAnsi="Cambria"/>
          <w:color w:val="000000"/>
          <w:sz w:val="20"/>
          <w:szCs w:val="20"/>
        </w:rPr>
        <w:t xml:space="preserve">E persistir em fazer coisas que nos </w:t>
      </w:r>
      <w:r>
        <w:rPr>
          <w:rFonts w:eastAsia="Cambria" w:cs="Cambria" w:ascii="Cambria" w:hAnsi="Cambria"/>
          <w:color w:val="000000"/>
          <w:sz w:val="20"/>
          <w:szCs w:val="20"/>
        </w:rPr>
        <w:t>permitam</w:t>
      </w:r>
      <w:r>
        <w:rPr>
          <w:rFonts w:eastAsia="Cambria" w:cs="Cambria" w:ascii="Cambria" w:hAnsi="Cambria"/>
          <w:color w:val="000000"/>
          <w:sz w:val="20"/>
          <w:szCs w:val="20"/>
        </w:rPr>
        <w:t xml:space="preserve"> aprender, mesmo quando isso é muito difícil.</w:t>
      </w:r>
    </w:p>
    <w:p>
      <w:pPr>
        <w:pStyle w:val="Heading3"/>
        <w:rPr>
          <w:color w:val="000000"/>
        </w:rPr>
      </w:pPr>
      <w:r>
        <w:rPr>
          <w:color w:val="000000"/>
        </w:rPr>
        <w:t>Fazer do Aprendizado um Esforço Espiritual</w:t>
      </w:r>
    </w:p>
    <w:p>
      <w:pPr>
        <w:pStyle w:val="normal1"/>
        <w:pBdr/>
        <w:spacing w:lineRule="auto" w:line="240" w:before="0" w:after="120"/>
        <w:rPr>
          <w:color w:val="000000"/>
        </w:rPr>
      </w:pPr>
      <w:r>
        <w:rPr>
          <w:rFonts w:eastAsia="Cambria" w:cs="Cambria" w:ascii="Cambria" w:hAnsi="Cambria"/>
          <w:color w:val="000000"/>
          <w:sz w:val="22"/>
          <w:szCs w:val="22"/>
        </w:rPr>
        <w:t>Agora, com estes princípios em mente, o que você pode fazer para tornar seu aprendizado um esforço espiritual? Aqui estão cinco sugestões:</w:t>
      </w:r>
    </w:p>
    <w:p>
      <w:pPr>
        <w:pStyle w:val="normal1"/>
        <w:pBdr/>
        <w:spacing w:lineRule="auto" w:line="240" w:before="0" w:after="120"/>
        <w:rPr>
          <w:color w:val="000000"/>
        </w:rPr>
      </w:pPr>
      <w:r>
        <w:rPr>
          <w:rFonts w:eastAsia="Cambria" w:cs="Cambria" w:ascii="Cambria" w:hAnsi="Cambria"/>
          <w:b/>
          <w:color w:val="000000"/>
          <w:sz w:val="22"/>
          <w:szCs w:val="22"/>
        </w:rPr>
        <w:t>Primeiro</w:t>
      </w:r>
      <w:r>
        <w:rPr>
          <w:rFonts w:eastAsia="Cambria" w:cs="Cambria" w:ascii="Cambria" w:hAnsi="Cambria"/>
          <w:color w:val="000000"/>
          <w:sz w:val="22"/>
          <w:szCs w:val="22"/>
        </w:rPr>
        <w:t>, cultive o desejo de aprender. O Senhor nos concede conforme o nosso desejo.</w:t>
      </w:r>
      <w:r>
        <w:rPr>
          <w:rStyle w:val="FootnoteReference"/>
          <w:rFonts w:eastAsia="Cambria" w:cs="Cambria" w:ascii="Cambria" w:hAnsi="Cambria"/>
          <w:color w:val="000000"/>
          <w:sz w:val="22"/>
          <w:szCs w:val="22"/>
          <w:vertAlign w:val="superscript"/>
        </w:rPr>
        <w:footnoteReference w:id="8"/>
      </w:r>
      <w:r>
        <w:rPr>
          <w:rFonts w:eastAsia="Cambria" w:cs="Cambria" w:ascii="Cambria" w:hAnsi="Cambria"/>
          <w:color w:val="000000"/>
          <w:sz w:val="22"/>
          <w:szCs w:val="22"/>
        </w:rPr>
        <w:t xml:space="preserve"> Querer aprender algo geralmente é necessário para ter acesso à ajuda de Deus. Quando criança, eu, na verdade, não queria aprender a tocar piano. Como resultado, nunca pedi a ajuda de Deus.</w:t>
      </w:r>
    </w:p>
    <w:p>
      <w:pPr>
        <w:pStyle w:val="normal1"/>
        <w:pBdr/>
        <w:spacing w:lineRule="auto" w:line="240" w:before="0" w:after="120"/>
        <w:rPr>
          <w:color w:val="000000"/>
        </w:rPr>
      </w:pPr>
      <w:r>
        <w:rPr>
          <w:rFonts w:eastAsia="Cambria" w:cs="Cambria" w:ascii="Cambria" w:hAnsi="Cambria"/>
          <w:b/>
          <w:color w:val="000000"/>
          <w:sz w:val="22"/>
          <w:szCs w:val="22"/>
        </w:rPr>
        <w:t>Segundo</w:t>
      </w:r>
      <w:r>
        <w:rPr>
          <w:rFonts w:eastAsia="Cambria" w:cs="Cambria" w:ascii="Cambria" w:hAnsi="Cambria"/>
          <w:color w:val="000000"/>
          <w:sz w:val="22"/>
          <w:szCs w:val="22"/>
        </w:rPr>
        <w:t xml:space="preserve">, faça o trabalho ou, em outras palavras, obedeça às leis exigidas para aprender. Por exemplo, se você quiser aprender álgebra, terá que ler, ouvir ou assistir a uma explicação sobre o que é </w:t>
      </w:r>
      <w:r>
        <w:rPr>
          <w:rFonts w:eastAsia="Cambria" w:cs="Cambria" w:ascii="Cambria" w:hAnsi="Cambria"/>
          <w:color w:val="000000"/>
          <w:sz w:val="22"/>
          <w:szCs w:val="22"/>
        </w:rPr>
        <w:t xml:space="preserve">álgebra </w:t>
      </w:r>
      <w:r>
        <w:rPr>
          <w:rFonts w:eastAsia="Cambria" w:cs="Cambria" w:ascii="Cambria" w:hAnsi="Cambria"/>
          <w:color w:val="000000"/>
          <w:sz w:val="22"/>
          <w:szCs w:val="22"/>
        </w:rPr>
        <w:t>e como faz</w:t>
      </w:r>
      <w:r>
        <w:rPr>
          <w:rFonts w:eastAsia="Cambria" w:cs="Cambria" w:ascii="Cambria" w:hAnsi="Cambria"/>
          <w:color w:val="000000"/>
          <w:sz w:val="22"/>
          <w:szCs w:val="22"/>
        </w:rPr>
        <w:t>ê-la</w:t>
      </w:r>
      <w:r>
        <w:rPr>
          <w:rFonts w:eastAsia="Cambria" w:cs="Cambria" w:ascii="Cambria" w:hAnsi="Cambria"/>
          <w:color w:val="000000"/>
          <w:sz w:val="22"/>
          <w:szCs w:val="22"/>
        </w:rPr>
        <w:t xml:space="preserve">. Você terá que ponderar </w:t>
      </w:r>
      <w:r>
        <w:rPr>
          <w:rFonts w:eastAsia="Cambria" w:cs="Cambria" w:ascii="Cambria" w:hAnsi="Cambria"/>
          <w:color w:val="000000"/>
          <w:sz w:val="22"/>
          <w:szCs w:val="22"/>
        </w:rPr>
        <w:t xml:space="preserve">sobre essa </w:t>
      </w:r>
      <w:r>
        <w:rPr>
          <w:rFonts w:eastAsia="Cambria" w:cs="Cambria" w:ascii="Cambria" w:hAnsi="Cambria"/>
          <w:color w:val="000000"/>
          <w:sz w:val="22"/>
          <w:szCs w:val="22"/>
        </w:rPr>
        <w:t xml:space="preserve">explicação. E, então, você terá que praticar a resolução de problemas. Depois de fazer essas coisas, dependendo do quanto você </w:t>
      </w:r>
      <w:r>
        <w:rPr>
          <w:rFonts w:eastAsia="Cambria" w:cs="Cambria" w:ascii="Cambria" w:hAnsi="Cambria"/>
          <w:color w:val="000000"/>
          <w:sz w:val="22"/>
          <w:szCs w:val="22"/>
        </w:rPr>
        <w:t>compreendeu</w:t>
      </w:r>
      <w:r>
        <w:rPr>
          <w:rFonts w:eastAsia="Cambria" w:cs="Cambria" w:ascii="Cambria" w:hAnsi="Cambria"/>
          <w:color w:val="000000"/>
          <w:sz w:val="22"/>
          <w:szCs w:val="22"/>
        </w:rPr>
        <w:t>, você também pode precisar de tutoria ou praticar mais. Tive que me esforçar muito mais para aprender espanhol do que meus colegas e, às vezes, você também terá que fazer isso. Lembre-se de que quando você tiver que fazer um esforço extra, o Senhor pode lhe dar força e tempo para fazer isso.</w:t>
      </w:r>
    </w:p>
    <w:p>
      <w:pPr>
        <w:pStyle w:val="normal1"/>
        <w:pBdr/>
        <w:spacing w:lineRule="auto" w:line="240" w:before="0" w:after="120"/>
        <w:rPr>
          <w:color w:val="000000"/>
        </w:rPr>
      </w:pPr>
      <w:r>
        <w:rPr>
          <w:rFonts w:eastAsia="Cambria" w:cs="Cambria" w:ascii="Cambria" w:hAnsi="Cambria"/>
          <w:b/>
          <w:color w:val="000000"/>
          <w:sz w:val="22"/>
          <w:szCs w:val="22"/>
        </w:rPr>
        <w:t>Terceiro</w:t>
      </w:r>
      <w:r>
        <w:rPr>
          <w:rFonts w:eastAsia="Cambria" w:cs="Cambria" w:ascii="Cambria" w:hAnsi="Cambria"/>
          <w:color w:val="000000"/>
          <w:sz w:val="22"/>
          <w:szCs w:val="22"/>
        </w:rPr>
        <w:t xml:space="preserve">, faça coisas que tragam o Espírito para sua vida. Doutrina e Convênios 93 ensina que: “Aquele que guarda </w:t>
      </w:r>
      <w:r>
        <w:rPr>
          <w:rFonts w:eastAsia="Cambria" w:cs="Cambria" w:ascii="Cambria" w:hAnsi="Cambria"/>
          <w:color w:val="000000"/>
          <w:sz w:val="22"/>
          <w:szCs w:val="22"/>
        </w:rPr>
        <w:t xml:space="preserve">[os] </w:t>
      </w:r>
      <w:r>
        <w:rPr>
          <w:rFonts w:eastAsia="Cambria" w:cs="Cambria" w:ascii="Cambria" w:hAnsi="Cambria"/>
          <w:color w:val="000000"/>
          <w:sz w:val="22"/>
          <w:szCs w:val="22"/>
        </w:rPr>
        <w:t>mandamentos [de Deus] recebe verdade e luz, até ser glorificado na verdade e conhecer todas as coisas”.</w:t>
      </w:r>
      <w:r>
        <w:rPr>
          <w:rStyle w:val="FootnoteReference"/>
          <w:rFonts w:eastAsia="Cambria" w:cs="Cambria" w:ascii="Cambria" w:hAnsi="Cambria"/>
          <w:color w:val="000000"/>
          <w:sz w:val="22"/>
          <w:szCs w:val="22"/>
          <w:vertAlign w:val="superscript"/>
        </w:rPr>
        <w:footnoteReference w:id="9"/>
      </w:r>
      <w:r>
        <w:rPr>
          <w:rFonts w:eastAsia="Cambria" w:cs="Cambria" w:ascii="Cambria" w:hAnsi="Cambria"/>
          <w:color w:val="000000"/>
          <w:sz w:val="22"/>
          <w:szCs w:val="22"/>
        </w:rPr>
        <w:t xml:space="preserve"> Assim, ao nos arrependermos e guardarmos os mandamentos de Deus, o Espírito nos ensinará a verdade e </w:t>
      </w:r>
      <w:r>
        <w:rPr>
          <w:rFonts w:eastAsia="Cambria" w:cs="Cambria" w:ascii="Cambria" w:hAnsi="Cambria"/>
          <w:color w:val="000000"/>
          <w:sz w:val="22"/>
          <w:szCs w:val="22"/>
        </w:rPr>
        <w:t>tornará</w:t>
      </w:r>
      <w:r>
        <w:rPr>
          <w:rFonts w:eastAsia="Cambria" w:cs="Cambria" w:ascii="Cambria" w:hAnsi="Cambria"/>
          <w:color w:val="000000"/>
          <w:sz w:val="22"/>
          <w:szCs w:val="22"/>
        </w:rPr>
        <w:t xml:space="preserve"> </w:t>
      </w:r>
      <w:r>
        <w:rPr>
          <w:rFonts w:eastAsia="Cambria" w:cs="Cambria" w:ascii="Cambria" w:hAnsi="Cambria"/>
          <w:color w:val="000000"/>
          <w:sz w:val="22"/>
          <w:szCs w:val="22"/>
        </w:rPr>
        <w:t>mais fácil para nós aprendermos</w:t>
      </w:r>
      <w:r>
        <w:rPr>
          <w:rFonts w:eastAsia="Cambria" w:cs="Cambria" w:ascii="Cambria" w:hAnsi="Cambria"/>
          <w:color w:val="000000"/>
          <w:sz w:val="22"/>
          <w:szCs w:val="22"/>
        </w:rPr>
        <w:t xml:space="preserve">. Você também pode orar (talvez até implorar) diariamente por ajuda em seus estudos. Não ore apenas em termos gerais, mas </w:t>
      </w:r>
      <w:r>
        <w:rPr>
          <w:rFonts w:eastAsia="Cambria" w:cs="Cambria" w:ascii="Cambria" w:hAnsi="Cambria"/>
          <w:color w:val="000000"/>
          <w:sz w:val="22"/>
          <w:szCs w:val="22"/>
        </w:rPr>
        <w:t>ore</w:t>
      </w:r>
      <w:r>
        <w:rPr>
          <w:rFonts w:eastAsia="Cambria" w:cs="Cambria" w:ascii="Cambria" w:hAnsi="Cambria"/>
          <w:color w:val="000000"/>
          <w:sz w:val="22"/>
          <w:szCs w:val="22"/>
        </w:rPr>
        <w:t xml:space="preserve"> para entender os princípios específicos com os quais você está tendo dificuldade. Jejue conforme necessário. Sirva aos outros. Frequente o templo.</w:t>
      </w:r>
    </w:p>
    <w:p>
      <w:pPr>
        <w:pStyle w:val="normal1"/>
        <w:pBdr/>
        <w:spacing w:lineRule="auto" w:line="240" w:before="0" w:after="120"/>
        <w:rPr>
          <w:color w:val="000000"/>
        </w:rPr>
      </w:pPr>
      <w:r>
        <w:rPr>
          <w:rFonts w:eastAsia="Cambria" w:cs="Cambria" w:ascii="Cambria" w:hAnsi="Cambria"/>
          <w:b/>
          <w:color w:val="000000"/>
          <w:sz w:val="22"/>
          <w:szCs w:val="22"/>
        </w:rPr>
        <w:t>Quarto</w:t>
      </w:r>
      <w:r>
        <w:rPr>
          <w:rFonts w:eastAsia="Cambria" w:cs="Cambria" w:ascii="Cambria" w:hAnsi="Cambria"/>
          <w:color w:val="000000"/>
          <w:sz w:val="22"/>
          <w:szCs w:val="22"/>
        </w:rPr>
        <w:t>, “</w:t>
      </w:r>
      <w:r>
        <w:rPr>
          <w:rFonts w:eastAsia="Cambria" w:cs="Cambria" w:ascii="Cambria" w:hAnsi="Cambria"/>
          <w:color w:val="000000"/>
          <w:sz w:val="22"/>
          <w:szCs w:val="22"/>
        </w:rPr>
        <w:t>negai-vos a toda iniquidade</w:t>
      </w:r>
      <w:r>
        <w:rPr>
          <w:rFonts w:eastAsia="Cambria" w:cs="Cambria" w:ascii="Cambria" w:hAnsi="Cambria"/>
          <w:color w:val="000000"/>
          <w:sz w:val="22"/>
          <w:szCs w:val="22"/>
        </w:rPr>
        <w:t>”.</w:t>
      </w:r>
      <w:r>
        <w:rPr>
          <w:rStyle w:val="FootnoteReference"/>
          <w:rFonts w:eastAsia="Cambria" w:cs="Cambria" w:ascii="Cambria" w:hAnsi="Cambria"/>
          <w:color w:val="000000"/>
          <w:sz w:val="22"/>
          <w:szCs w:val="22"/>
          <w:vertAlign w:val="superscript"/>
        </w:rPr>
        <w:footnoteReference w:id="10"/>
      </w:r>
      <w:r>
        <w:rPr>
          <w:rFonts w:eastAsia="Cambria" w:cs="Cambria" w:ascii="Cambria" w:hAnsi="Cambria"/>
          <w:color w:val="000000"/>
          <w:sz w:val="22"/>
          <w:szCs w:val="22"/>
        </w:rPr>
        <w:t xml:space="preserve"> Quando adotamos comportamentos que afastam o Espírito de nossa vida, como ser </w:t>
      </w:r>
      <w:r>
        <w:rPr>
          <w:rFonts w:eastAsia="Cambria" w:cs="Cambria" w:ascii="Cambria" w:hAnsi="Cambria"/>
          <w:color w:val="000000"/>
          <w:sz w:val="22"/>
          <w:szCs w:val="22"/>
        </w:rPr>
        <w:t>desobedientes</w:t>
      </w:r>
      <w:r>
        <w:rPr>
          <w:rFonts w:eastAsia="Cambria" w:cs="Cambria" w:ascii="Cambria" w:hAnsi="Cambria"/>
          <w:color w:val="000000"/>
          <w:sz w:val="22"/>
          <w:szCs w:val="22"/>
        </w:rPr>
        <w:t>, reclamar dos nossos estudos, nos convencer de que aprender alg</w:t>
      </w:r>
      <w:r>
        <w:rPr>
          <w:rFonts w:eastAsia="Cambria" w:cs="Cambria" w:ascii="Cambria" w:hAnsi="Cambria"/>
          <w:color w:val="000000"/>
          <w:sz w:val="22"/>
          <w:szCs w:val="22"/>
        </w:rPr>
        <w:t>uma coisa</w:t>
      </w:r>
      <w:r>
        <w:rPr>
          <w:rFonts w:eastAsia="Cambria" w:cs="Cambria" w:ascii="Cambria" w:hAnsi="Cambria"/>
          <w:color w:val="000000"/>
          <w:sz w:val="22"/>
          <w:szCs w:val="22"/>
        </w:rPr>
        <w:t xml:space="preserve"> é impossível ou ao sucumbir ao orgulho, damos espaço para que Satanás nos prive da luz e da verdade. Isto inclui a luz e a verdade que </w:t>
      </w:r>
      <w:r>
        <w:rPr>
          <w:rFonts w:eastAsia="Cambria" w:cs="Cambria" w:ascii="Cambria" w:hAnsi="Cambria"/>
          <w:color w:val="000000"/>
          <w:sz w:val="22"/>
          <w:szCs w:val="22"/>
        </w:rPr>
        <w:t xml:space="preserve">estamos tentando obter </w:t>
      </w:r>
      <w:r>
        <w:rPr>
          <w:rFonts w:eastAsia="Cambria" w:cs="Cambria" w:ascii="Cambria" w:hAnsi="Cambria"/>
          <w:color w:val="000000"/>
          <w:sz w:val="22"/>
          <w:szCs w:val="22"/>
        </w:rPr>
        <w:t>em nossos estudos.</w:t>
      </w:r>
      <w:r>
        <w:rPr>
          <w:rStyle w:val="FootnoteReference"/>
          <w:rFonts w:eastAsia="Cambria" w:cs="Cambria" w:ascii="Cambria" w:hAnsi="Cambria"/>
          <w:color w:val="000000"/>
          <w:sz w:val="22"/>
          <w:szCs w:val="22"/>
          <w:vertAlign w:val="superscript"/>
        </w:rPr>
        <w:footnoteReference w:id="11"/>
      </w:r>
    </w:p>
    <w:p>
      <w:pPr>
        <w:pStyle w:val="normal1"/>
        <w:pBdr/>
        <w:spacing w:lineRule="auto" w:line="240" w:before="0" w:after="120"/>
        <w:rPr>
          <w:color w:val="000000"/>
        </w:rPr>
      </w:pPr>
      <w:r>
        <w:rPr>
          <w:rFonts w:eastAsia="Cambria" w:cs="Cambria" w:ascii="Cambria" w:hAnsi="Cambria"/>
          <w:b/>
          <w:color w:val="000000"/>
          <w:sz w:val="22"/>
          <w:szCs w:val="22"/>
        </w:rPr>
        <w:t>E</w:t>
      </w:r>
      <w:r>
        <w:rPr>
          <w:rFonts w:eastAsia="Cambria" w:cs="Cambria" w:ascii="Cambria" w:hAnsi="Cambria"/>
          <w:color w:val="000000"/>
          <w:sz w:val="22"/>
          <w:szCs w:val="22"/>
        </w:rPr>
        <w:t xml:space="preserve"> </w:t>
      </w:r>
      <w:r>
        <w:rPr>
          <w:rFonts w:eastAsia="Cambria" w:cs="Cambria" w:ascii="Cambria" w:hAnsi="Cambria"/>
          <w:b/>
          <w:color w:val="000000"/>
          <w:sz w:val="22"/>
          <w:szCs w:val="22"/>
        </w:rPr>
        <w:t>finalmente</w:t>
      </w:r>
      <w:r>
        <w:rPr>
          <w:rFonts w:eastAsia="Cambria" w:cs="Cambria" w:ascii="Cambria" w:hAnsi="Cambria"/>
          <w:color w:val="000000"/>
          <w:sz w:val="22"/>
          <w:szCs w:val="22"/>
        </w:rPr>
        <w:t>, confie que “com Deus todas as coisas são possíveis”.</w:t>
      </w:r>
      <w:r>
        <w:rPr>
          <w:rStyle w:val="FootnoteReference"/>
          <w:rFonts w:eastAsia="Cambria" w:cs="Cambria" w:ascii="Cambria" w:hAnsi="Cambria"/>
          <w:color w:val="000000"/>
          <w:sz w:val="22"/>
          <w:szCs w:val="22"/>
          <w:vertAlign w:val="superscript"/>
        </w:rPr>
        <w:footnoteReference w:id="12"/>
      </w:r>
      <w:r>
        <w:rPr>
          <w:rFonts w:eastAsia="Cambria" w:cs="Cambria" w:ascii="Cambria" w:hAnsi="Cambria"/>
          <w:color w:val="000000"/>
          <w:sz w:val="22"/>
          <w:szCs w:val="22"/>
        </w:rPr>
        <w:t xml:space="preserve"> Não desista porque aprender algo parece impossível. Não “aconselhe-se com [seus] medos”.</w:t>
      </w:r>
      <w:r>
        <w:rPr>
          <w:rStyle w:val="FootnoteReference"/>
          <w:rFonts w:eastAsia="Cambria" w:cs="Cambria" w:ascii="Cambria" w:hAnsi="Cambria"/>
          <w:color w:val="000000"/>
          <w:sz w:val="22"/>
          <w:szCs w:val="22"/>
          <w:vertAlign w:val="superscript"/>
        </w:rPr>
        <w:footnoteReference w:id="13"/>
      </w:r>
      <w:r>
        <w:rPr>
          <w:rFonts w:eastAsia="Cambria" w:cs="Cambria" w:ascii="Cambria" w:hAnsi="Cambria"/>
          <w:color w:val="000000"/>
          <w:sz w:val="22"/>
          <w:szCs w:val="22"/>
        </w:rPr>
        <w:t xml:space="preserve"> Em vez disso, siga em frente com fé. </w:t>
      </w:r>
      <w:r>
        <w:rPr>
          <w:rFonts w:eastAsia="Cambria" w:cs="Cambria" w:ascii="Cambria" w:hAnsi="Cambria"/>
          <w:color w:val="000000"/>
          <w:sz w:val="22"/>
          <w:szCs w:val="22"/>
        </w:rPr>
        <w:t>Se você não consegue ver a solução para seus problemas agora, acredite que essas soluções virão à medida que avançar, se estiver fazendo o que Deus deseja que faça.</w:t>
      </w:r>
    </w:p>
    <w:p>
      <w:pPr>
        <w:pStyle w:val="Heading3"/>
        <w:rPr>
          <w:color w:val="000000"/>
        </w:rPr>
      </w:pPr>
      <w:r>
        <w:rPr>
          <w:color w:val="000000"/>
        </w:rPr>
        <w:t>Aprender em Lugares Santos</w:t>
      </w:r>
    </w:p>
    <w:p>
      <w:pPr>
        <w:pStyle w:val="normal1"/>
        <w:spacing w:lineRule="auto" w:line="240" w:before="240" w:after="240"/>
        <w:rPr>
          <w:color w:val="000000"/>
        </w:rPr>
      </w:pPr>
      <w:r>
        <w:rPr>
          <w:rFonts w:eastAsia="Cambria" w:cs="Cambria" w:ascii="Cambria" w:hAnsi="Cambria"/>
          <w:color w:val="000000"/>
          <w:sz w:val="22"/>
          <w:szCs w:val="22"/>
        </w:rPr>
        <w:t>Quero concluir com uma história. Antes de ser chamado como Apóstolo, o cientista John A. Widtsoe trabalhou durante anos para desenvolver uma determinada fórmula científica. Um dia, ele concluiu que isso era impossível. Decidiu abandonar esse trabalho para sempre e seguir para outra área de estudo. Então, foi para casa e, para se consolar, levou a esposa ao templo. Foi ali, no templo, naquele dia, que a solução lhe veio.</w:t>
      </w:r>
    </w:p>
    <w:p>
      <w:pPr>
        <w:pStyle w:val="normal1"/>
        <w:spacing w:lineRule="auto" w:line="240" w:before="240" w:after="240"/>
        <w:rPr>
          <w:color w:val="000000"/>
        </w:rPr>
      </w:pPr>
      <w:r>
        <w:rPr>
          <w:rFonts w:eastAsia="Cambria" w:cs="Cambria" w:ascii="Cambria" w:hAnsi="Cambria"/>
          <w:color w:val="000000"/>
          <w:sz w:val="22"/>
          <w:szCs w:val="22"/>
        </w:rPr>
        <w:t>Testifico que, ao fazer do aprendizado um esforço espiritual, você também encontrará soluções para os seus desafios de aprendizado e será capaz de aprender de forma mais eficiente e eficaz. Testifico, ainda, que Jesus Cristo é a fonte de toda verdade. Em nome de Jesus Cristo, amém.</w:t>
      </w:r>
    </w:p>
    <w:sectPr>
      <w:footnotePr>
        <w:numFmt w:val="decimal"/>
      </w:footnotePr>
      <w:type w:val="nextPage"/>
      <w:pgSz w:w="12240" w:h="15840"/>
      <w:pgMar w:left="1440" w:right="1440" w:gutter="0" w:header="0" w:top="1143"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ambria">
    <w:charset w:val="01"/>
    <w:family w:val="roman"/>
    <w:pitch w:val="variable"/>
  </w:font>
  <w:font w:name="Segoe UI">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Noto Sans Symbols">
    <w:charset w:val="01"/>
    <w:family w:val="swiss"/>
    <w:pitch w:val="variable"/>
  </w:font>
  <w:font w:name="Courier New">
    <w:charset w:val="01"/>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normal1"/>
        <w:pBdr/>
        <w:rPr>
          <w:rFonts w:ascii="Cambria" w:hAnsi="Cambria" w:eastAsia="Cambria" w:cs="Cambria"/>
          <w:color w:val="000000"/>
          <w:sz w:val="16"/>
          <w:szCs w:val="16"/>
        </w:rPr>
      </w:pPr>
      <w:r>
        <w:rPr>
          <w:rStyle w:val="Caracteresdenotaderodap"/>
        </w:rPr>
        <w:footnoteRef/>
      </w:r>
      <w:r>
        <w:rPr>
          <w:rFonts w:eastAsia="Cambria" w:cs="Cambria" w:ascii="Cambria" w:hAnsi="Cambria"/>
          <w:color w:themeColor="text1" w:val="000000"/>
          <w:sz w:val="16"/>
          <w:szCs w:val="16"/>
        </w:rPr>
        <w:t xml:space="preserve"> </w:t>
      </w:r>
      <w:r>
        <w:rPr>
          <w:rFonts w:eastAsia="Cambria" w:cs="Cambria" w:ascii="Cambria" w:hAnsi="Cambria"/>
          <w:color w:themeColor="text1" w:val="000000"/>
          <w:sz w:val="16"/>
          <w:szCs w:val="16"/>
        </w:rPr>
        <w:t>Para saber mais sobre este assunto, consulte o devocional de Brian Ashton na BYU-Idaho de 12 de fevereiro de 2019.</w:t>
      </w:r>
    </w:p>
  </w:footnote>
  <w:footnote w:id="3">
    <w:p>
      <w:pPr>
        <w:pStyle w:val="normal1"/>
        <w:pBdr/>
        <w:rPr>
          <w:rFonts w:ascii="Cambria" w:hAnsi="Cambria" w:eastAsia="Cambria" w:cs="Cambria"/>
          <w:color w:val="000000"/>
          <w:sz w:val="16"/>
          <w:szCs w:val="16"/>
        </w:rPr>
      </w:pPr>
      <w:r>
        <w:rPr>
          <w:rStyle w:val="Caracteresdenotaderodap"/>
        </w:rPr>
        <w:footnoteRef/>
      </w:r>
      <w:r>
        <w:rPr>
          <w:rFonts w:eastAsia="Cambria" w:cs="Cambria" w:ascii="Cambria" w:hAnsi="Cambria"/>
          <w:color w:themeColor="text1" w:val="000000"/>
          <w:sz w:val="16"/>
          <w:szCs w:val="16"/>
        </w:rPr>
        <w:t xml:space="preserve"> </w:t>
      </w:r>
      <w:r>
        <w:rPr>
          <w:rFonts w:eastAsia="Cambria" w:cs="Cambria" w:ascii="Cambria" w:hAnsi="Cambria"/>
          <w:color w:themeColor="text1" w:val="000000"/>
          <w:sz w:val="16"/>
          <w:szCs w:val="16"/>
        </w:rPr>
        <w:t>David A. Bednar, “Aprender pela Fé”, Ensign, setembro de 2007, 66</w:t>
      </w:r>
    </w:p>
  </w:footnote>
  <w:footnote w:id="4">
    <w:p>
      <w:pPr>
        <w:pStyle w:val="normal1"/>
        <w:pBdr/>
        <w:rPr>
          <w:rFonts w:ascii="Cambria" w:hAnsi="Cambria" w:eastAsia="Cambria" w:cs="Cambria"/>
          <w:color w:val="000000"/>
          <w:sz w:val="16"/>
          <w:szCs w:val="16"/>
        </w:rPr>
      </w:pPr>
      <w:r>
        <w:rPr>
          <w:rStyle w:val="Caracteresdenotaderodap"/>
        </w:rPr>
        <w:footnoteRef/>
      </w:r>
      <w:r>
        <w:rPr>
          <w:rFonts w:eastAsia="Cambria" w:cs="Cambria" w:ascii="Cambria" w:hAnsi="Cambria"/>
          <w:color w:themeColor="text1" w:val="000000"/>
          <w:sz w:val="16"/>
          <w:szCs w:val="16"/>
        </w:rPr>
        <w:t xml:space="preserve"> </w:t>
      </w:r>
      <w:r>
        <w:rPr>
          <w:rFonts w:eastAsia="Cambria" w:cs="Cambria" w:ascii="Cambria" w:hAnsi="Cambria"/>
          <w:color w:themeColor="text1" w:val="000000"/>
          <w:sz w:val="16"/>
          <w:szCs w:val="16"/>
        </w:rPr>
        <w:t>Doutrina e Convênios 130:21</w:t>
      </w:r>
    </w:p>
  </w:footnote>
  <w:footnote w:id="5">
    <w:p>
      <w:pPr>
        <w:pStyle w:val="normal1"/>
        <w:pBdr/>
        <w:rPr>
          <w:rFonts w:ascii="Cambria" w:hAnsi="Cambria" w:eastAsia="Cambria" w:cs="Cambria"/>
          <w:color w:val="000000"/>
          <w:sz w:val="16"/>
          <w:szCs w:val="16"/>
        </w:rPr>
      </w:pPr>
      <w:r>
        <w:rPr>
          <w:rStyle w:val="Caracteresdenotaderodap"/>
        </w:rPr>
        <w:footnoteRef/>
      </w:r>
      <w:r>
        <w:rPr>
          <w:rFonts w:eastAsia="Cambria" w:cs="Cambria" w:ascii="Cambria" w:hAnsi="Cambria"/>
          <w:color w:themeColor="text1" w:val="000000"/>
          <w:sz w:val="16"/>
          <w:szCs w:val="16"/>
        </w:rPr>
        <w:t xml:space="preserve"> </w:t>
      </w:r>
      <w:r>
        <w:rPr>
          <w:rFonts w:eastAsia="Cambria" w:cs="Cambria" w:ascii="Cambria" w:hAnsi="Cambria"/>
          <w:color w:themeColor="text1" w:val="000000"/>
          <w:sz w:val="16"/>
          <w:szCs w:val="16"/>
        </w:rPr>
        <w:t>Isaías 11:2-3</w:t>
      </w:r>
    </w:p>
  </w:footnote>
  <w:footnote w:id="6">
    <w:p>
      <w:pPr>
        <w:pStyle w:val="normal1"/>
        <w:pBdr/>
        <w:rPr>
          <w:rFonts w:ascii="Cambria" w:hAnsi="Cambria" w:eastAsia="Cambria" w:cs="Cambria"/>
          <w:color w:val="000000"/>
          <w:sz w:val="16"/>
          <w:szCs w:val="16"/>
        </w:rPr>
      </w:pPr>
      <w:r>
        <w:rPr>
          <w:rStyle w:val="Caracteresdenotaderodap"/>
        </w:rPr>
        <w:footnoteRef/>
      </w:r>
      <w:r>
        <w:rPr>
          <w:rFonts w:eastAsia="Cambria" w:cs="Cambria" w:ascii="Cambria" w:hAnsi="Cambria"/>
          <w:color w:themeColor="text1" w:val="000000"/>
          <w:sz w:val="16"/>
          <w:szCs w:val="16"/>
        </w:rPr>
        <w:t xml:space="preserve"> </w:t>
      </w:r>
      <w:r>
        <w:rPr>
          <w:rFonts w:eastAsia="Cambria" w:cs="Cambria" w:ascii="Cambria" w:hAnsi="Cambria"/>
          <w:color w:themeColor="text1" w:val="000000"/>
          <w:sz w:val="16"/>
          <w:szCs w:val="16"/>
        </w:rPr>
        <w:t>Doutrina e Convênios 88:11</w:t>
      </w:r>
    </w:p>
  </w:footnote>
  <w:footnote w:id="7">
    <w:p>
      <w:pPr>
        <w:pStyle w:val="normal1"/>
        <w:pBdr/>
        <w:rPr>
          <w:rFonts w:ascii="Cambria" w:hAnsi="Cambria" w:eastAsia="Cambria" w:cs="Cambria"/>
          <w:color w:val="000000"/>
          <w:sz w:val="20"/>
          <w:szCs w:val="20"/>
        </w:rPr>
      </w:pPr>
      <w:r>
        <w:rPr>
          <w:rStyle w:val="Caracteresdenotaderodap"/>
        </w:rPr>
        <w:footnoteRef/>
      </w:r>
      <w:r>
        <w:rPr>
          <w:rFonts w:eastAsia="Cambria" w:cs="Cambria" w:ascii="Cambria" w:hAnsi="Cambria"/>
          <w:color w:themeColor="text1" w:val="000000"/>
          <w:sz w:val="16"/>
          <w:szCs w:val="16"/>
        </w:rPr>
        <w:t xml:space="preserve"> </w:t>
      </w:r>
      <w:r>
        <w:rPr>
          <w:rFonts w:eastAsia="Cambria" w:cs="Cambria" w:ascii="Cambria" w:hAnsi="Cambria"/>
          <w:color w:themeColor="text1" w:val="000000"/>
          <w:sz w:val="16"/>
          <w:szCs w:val="16"/>
        </w:rPr>
        <w:t>Morôni 7:33</w:t>
      </w:r>
    </w:p>
  </w:footnote>
  <w:footnote w:id="8">
    <w:p>
      <w:pPr>
        <w:pStyle w:val="normal1"/>
        <w:pBdr/>
        <w:rPr>
          <w:rFonts w:ascii="Cambria" w:hAnsi="Cambria" w:eastAsia="Cambria" w:cs="Cambria"/>
          <w:color w:val="000000"/>
          <w:sz w:val="16"/>
          <w:szCs w:val="16"/>
        </w:rPr>
      </w:pPr>
      <w:r>
        <w:rPr>
          <w:rStyle w:val="Caracteresdenotaderodap"/>
        </w:rPr>
        <w:footnoteRef/>
      </w:r>
      <w:r>
        <w:rPr>
          <w:rFonts w:eastAsia="Cambria" w:cs="Cambria" w:ascii="Cambria" w:hAnsi="Cambria"/>
          <w:color w:themeColor="text1" w:val="000000"/>
          <w:sz w:val="16"/>
          <w:szCs w:val="16"/>
        </w:rPr>
        <w:t xml:space="preserve"> </w:t>
      </w:r>
      <w:r>
        <w:rPr>
          <w:rFonts w:eastAsia="Cambria" w:cs="Cambria" w:ascii="Cambria" w:hAnsi="Cambria"/>
          <w:color w:themeColor="text1" w:val="000000"/>
          <w:sz w:val="16"/>
          <w:szCs w:val="16"/>
        </w:rPr>
        <w:t>Consulte Alma 29:4</w:t>
      </w:r>
    </w:p>
  </w:footnote>
  <w:footnote w:id="9">
    <w:p>
      <w:pPr>
        <w:pStyle w:val="normal1"/>
        <w:pBdr/>
        <w:rPr>
          <w:rFonts w:ascii="Cambria" w:hAnsi="Cambria" w:eastAsia="Cambria" w:cs="Cambria"/>
          <w:color w:val="000000"/>
          <w:sz w:val="16"/>
          <w:szCs w:val="16"/>
        </w:rPr>
      </w:pPr>
      <w:r>
        <w:rPr>
          <w:rStyle w:val="Caracteresdenotaderodap"/>
        </w:rPr>
        <w:footnoteRef/>
      </w:r>
      <w:r>
        <w:rPr>
          <w:rFonts w:eastAsia="Cambria" w:cs="Cambria" w:ascii="Cambria" w:hAnsi="Cambria"/>
          <w:color w:themeColor="text1" w:val="000000"/>
          <w:sz w:val="16"/>
          <w:szCs w:val="16"/>
        </w:rPr>
        <w:t xml:space="preserve"> </w:t>
      </w:r>
      <w:r>
        <w:rPr>
          <w:rFonts w:eastAsia="Cambria" w:cs="Cambria" w:ascii="Cambria" w:hAnsi="Cambria"/>
          <w:color w:themeColor="text1" w:val="000000"/>
          <w:sz w:val="16"/>
          <w:szCs w:val="16"/>
        </w:rPr>
        <w:t>Doutrina e Convênios 93:28, grifo nosso; consulte também Doutrina e Convênios 50:24</w:t>
      </w:r>
    </w:p>
  </w:footnote>
  <w:footnote w:id="10">
    <w:p>
      <w:pPr>
        <w:pStyle w:val="normal1"/>
        <w:pBdr/>
        <w:rPr>
          <w:rFonts w:ascii="Cambria" w:hAnsi="Cambria" w:eastAsia="Cambria" w:cs="Cambria"/>
          <w:color w:val="000000"/>
          <w:sz w:val="16"/>
          <w:szCs w:val="16"/>
        </w:rPr>
      </w:pPr>
      <w:r>
        <w:rPr>
          <w:rStyle w:val="Caracteresdenotaderodap"/>
        </w:rPr>
        <w:footnoteRef/>
      </w:r>
      <w:r>
        <w:rPr>
          <w:rFonts w:eastAsia="Cambria" w:cs="Cambria" w:ascii="Cambria" w:hAnsi="Cambria"/>
          <w:color w:themeColor="text1" w:val="000000"/>
          <w:sz w:val="16"/>
          <w:szCs w:val="16"/>
        </w:rPr>
        <w:t xml:space="preserve"> </w:t>
      </w:r>
      <w:r>
        <w:rPr>
          <w:rFonts w:eastAsia="Cambria" w:cs="Cambria" w:ascii="Cambria" w:hAnsi="Cambria"/>
          <w:color w:themeColor="text1" w:val="000000"/>
          <w:sz w:val="16"/>
          <w:szCs w:val="16"/>
        </w:rPr>
        <w:t>Morôni 10:32</w:t>
      </w:r>
    </w:p>
  </w:footnote>
  <w:footnote w:id="11">
    <w:p>
      <w:pPr>
        <w:pStyle w:val="normal1"/>
        <w:pBdr/>
        <w:rPr>
          <w:rFonts w:ascii="Cambria" w:hAnsi="Cambria" w:eastAsia="Cambria" w:cs="Cambria"/>
          <w:color w:val="000000"/>
          <w:sz w:val="16"/>
          <w:szCs w:val="16"/>
        </w:rPr>
      </w:pPr>
      <w:r>
        <w:rPr>
          <w:rStyle w:val="Caracteresdenotaderodap"/>
        </w:rPr>
        <w:footnoteRef/>
      </w:r>
      <w:r>
        <w:rPr>
          <w:rFonts w:eastAsia="Cambria" w:cs="Cambria" w:ascii="Cambria" w:hAnsi="Cambria"/>
          <w:color w:themeColor="text1" w:val="000000"/>
          <w:sz w:val="16"/>
          <w:szCs w:val="16"/>
        </w:rPr>
        <w:t xml:space="preserve"> </w:t>
      </w:r>
      <w:r>
        <w:rPr>
          <w:rFonts w:eastAsia="Cambria" w:cs="Cambria" w:ascii="Cambria" w:hAnsi="Cambria"/>
          <w:color w:themeColor="text1" w:val="000000"/>
          <w:sz w:val="16"/>
          <w:szCs w:val="16"/>
        </w:rPr>
        <w:t>Consulte Doutrina e Convênios 93:39</w:t>
      </w:r>
    </w:p>
  </w:footnote>
  <w:footnote w:id="12">
    <w:p>
      <w:pPr>
        <w:pStyle w:val="normal1"/>
        <w:pBdr/>
        <w:rPr>
          <w:rFonts w:ascii="Cambria" w:hAnsi="Cambria" w:eastAsia="Cambria" w:cs="Cambria"/>
          <w:color w:val="000000"/>
          <w:sz w:val="16"/>
          <w:szCs w:val="16"/>
        </w:rPr>
      </w:pPr>
      <w:r>
        <w:rPr>
          <w:rStyle w:val="Caracteresdenotaderodap"/>
        </w:rPr>
        <w:footnoteRef/>
      </w:r>
      <w:r>
        <w:rPr>
          <w:rFonts w:eastAsia="Cambria" w:cs="Cambria" w:ascii="Cambria" w:hAnsi="Cambria"/>
          <w:color w:themeColor="text1" w:val="000000"/>
          <w:sz w:val="16"/>
          <w:szCs w:val="16"/>
        </w:rPr>
        <w:t xml:space="preserve"> </w:t>
      </w:r>
      <w:r>
        <w:rPr>
          <w:rFonts w:eastAsia="Cambria" w:cs="Cambria" w:ascii="Cambria" w:hAnsi="Cambria"/>
          <w:color w:themeColor="text1" w:val="000000"/>
          <w:sz w:val="16"/>
          <w:szCs w:val="16"/>
        </w:rPr>
        <w:t>Mateus 19:26; Marcos 10:27</w:t>
      </w:r>
    </w:p>
  </w:footnote>
  <w:footnote w:id="13">
    <w:p>
      <w:pPr>
        <w:pStyle w:val="normal1"/>
        <w:pBdr/>
        <w:rPr>
          <w:rFonts w:ascii="Cambria" w:hAnsi="Cambria" w:eastAsia="Cambria" w:cs="Cambria"/>
          <w:color w:val="000000"/>
          <w:sz w:val="16"/>
          <w:szCs w:val="16"/>
        </w:rPr>
      </w:pPr>
      <w:r>
        <w:rPr>
          <w:rStyle w:val="Caracteresdenotaderodap"/>
        </w:rPr>
        <w:footnoteRef/>
      </w:r>
      <w:r>
        <w:rPr>
          <w:rFonts w:eastAsia="Cambria" w:cs="Cambria" w:ascii="Cambria" w:hAnsi="Cambria"/>
          <w:color w:themeColor="text1" w:val="000000"/>
          <w:sz w:val="16"/>
          <w:szCs w:val="16"/>
        </w:rPr>
        <w:t xml:space="preserve"> </w:t>
      </w:r>
      <w:r>
        <w:rPr>
          <w:rFonts w:eastAsia="Cambria" w:cs="Cambria" w:ascii="Cambria" w:hAnsi="Cambria"/>
          <w:color w:themeColor="text1" w:val="000000"/>
          <w:sz w:val="16"/>
          <w:szCs w:val="16"/>
        </w:rPr>
        <w:t>James E. Faust, “Não Tenha Medo”, Ensign, outubro de 2002, 6</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72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2">
    <w:lvl w:ilvl="0">
      <w:start w:val="1"/>
      <w:numFmt w:val="bullet"/>
      <w:lvlText w:val=""/>
      <w:lvlJc w:val="left"/>
      <w:pPr>
        <w:tabs>
          <w:tab w:val="num" w:pos="0"/>
        </w:tabs>
        <w:ind w:left="1800" w:hanging="360"/>
      </w:pPr>
      <w:rPr>
        <w:rFonts w:ascii="Wingdings" w:hAnsi="Wingdings" w:cs="Wingdings" w:hint="default"/>
        <w:u w:val="none"/>
      </w:rPr>
    </w:lvl>
    <w:lvl w:ilvl="1">
      <w:start w:val="1"/>
      <w:numFmt w:val="bullet"/>
      <w:lvlText w:val=""/>
      <w:lvlJc w:val="left"/>
      <w:pPr>
        <w:tabs>
          <w:tab w:val="num" w:pos="0"/>
        </w:tabs>
        <w:ind w:left="2520" w:hanging="360"/>
      </w:pPr>
      <w:rPr>
        <w:rFonts w:ascii="Wingdings 2" w:hAnsi="Wingdings 2" w:cs="Wingdings 2" w:hint="default"/>
        <w:u w:val="none"/>
      </w:rPr>
    </w:lvl>
    <w:lvl w:ilvl="2">
      <w:start w:val="1"/>
      <w:numFmt w:val="bullet"/>
      <w:lvlText w:val="■"/>
      <w:lvlJc w:val="left"/>
      <w:pPr>
        <w:tabs>
          <w:tab w:val="num" w:pos="0"/>
        </w:tabs>
        <w:ind w:left="3240" w:hanging="360"/>
      </w:pPr>
      <w:rPr>
        <w:rFonts w:ascii="OpenSymbol" w:hAnsi="OpenSymbol" w:cs="OpenSymbol" w:hint="default"/>
        <w:u w:val="none"/>
      </w:rPr>
    </w:lvl>
    <w:lvl w:ilvl="3">
      <w:start w:val="1"/>
      <w:numFmt w:val="bullet"/>
      <w:lvlText w:val=""/>
      <w:lvlJc w:val="left"/>
      <w:pPr>
        <w:tabs>
          <w:tab w:val="num" w:pos="0"/>
        </w:tabs>
        <w:ind w:left="3960" w:hanging="360"/>
      </w:pPr>
      <w:rPr>
        <w:rFonts w:ascii="Wingdings" w:hAnsi="Wingdings" w:cs="Wingdings" w:hint="default"/>
        <w:u w:val="none"/>
      </w:rPr>
    </w:lvl>
    <w:lvl w:ilvl="4">
      <w:start w:val="1"/>
      <w:numFmt w:val="bullet"/>
      <w:lvlText w:val=""/>
      <w:lvlJc w:val="left"/>
      <w:pPr>
        <w:tabs>
          <w:tab w:val="num" w:pos="0"/>
        </w:tabs>
        <w:ind w:left="4680" w:hanging="360"/>
      </w:pPr>
      <w:rPr>
        <w:rFonts w:ascii="Wingdings 2" w:hAnsi="Wingdings 2" w:cs="Wingdings 2" w:hint="default"/>
        <w:u w:val="none"/>
      </w:rPr>
    </w:lvl>
    <w:lvl w:ilvl="5">
      <w:start w:val="1"/>
      <w:numFmt w:val="bullet"/>
      <w:lvlText w:val="■"/>
      <w:lvlJc w:val="left"/>
      <w:pPr>
        <w:tabs>
          <w:tab w:val="num" w:pos="0"/>
        </w:tabs>
        <w:ind w:left="5400" w:hanging="360"/>
      </w:pPr>
      <w:rPr>
        <w:rFonts w:ascii="OpenSymbol" w:hAnsi="OpenSymbol" w:cs="OpenSymbol" w:hint="default"/>
        <w:u w:val="none"/>
      </w:rPr>
    </w:lvl>
    <w:lvl w:ilvl="6">
      <w:start w:val="1"/>
      <w:numFmt w:val="bullet"/>
      <w:lvlText w:val=""/>
      <w:lvlJc w:val="left"/>
      <w:pPr>
        <w:tabs>
          <w:tab w:val="num" w:pos="0"/>
        </w:tabs>
        <w:ind w:left="6120" w:hanging="360"/>
      </w:pPr>
      <w:rPr>
        <w:rFonts w:ascii="Wingdings" w:hAnsi="Wingdings" w:cs="Wingdings" w:hint="default"/>
        <w:u w:val="none"/>
      </w:rPr>
    </w:lvl>
    <w:lvl w:ilvl="7">
      <w:start w:val="1"/>
      <w:numFmt w:val="bullet"/>
      <w:lvlText w:val=""/>
      <w:lvlJc w:val="left"/>
      <w:pPr>
        <w:tabs>
          <w:tab w:val="num" w:pos="0"/>
        </w:tabs>
        <w:ind w:left="6840" w:hanging="360"/>
      </w:pPr>
      <w:rPr>
        <w:rFonts w:ascii="Wingdings 2" w:hAnsi="Wingdings 2" w:cs="Wingdings 2" w:hint="default"/>
        <w:u w:val="none"/>
      </w:rPr>
    </w:lvl>
    <w:lvl w:ilvl="8">
      <w:start w:val="1"/>
      <w:numFmt w:val="bullet"/>
      <w:lvlText w:val="■"/>
      <w:lvlJc w:val="left"/>
      <w:pPr>
        <w:tabs>
          <w:tab w:val="num" w:pos="0"/>
        </w:tabs>
        <w:ind w:left="7560" w:hanging="360"/>
      </w:pPr>
      <w:rPr>
        <w:rFonts w:ascii="OpenSymbol" w:hAnsi="OpenSymbol" w:cs="OpenSymbol" w:hint="default"/>
        <w:u w:val="none"/>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1"/>
    <w:next w:val="normal1"/>
    <w:qFormat/>
    <w:pPr>
      <w:keepNext w:val="true"/>
      <w:keepLines/>
      <w:spacing w:lineRule="auto" w:line="276" w:before="400" w:after="120"/>
    </w:pPr>
    <w:rPr>
      <w:rFonts w:ascii="Calibri" w:hAnsi="Calibri" w:eastAsia="Calibri" w:cs="Calibri"/>
      <w:b/>
      <w:color w:val="000000"/>
      <w:sz w:val="32"/>
      <w:szCs w:val="32"/>
    </w:rPr>
  </w:style>
  <w:style w:type="paragraph" w:styleId="Heading2">
    <w:name w:val="Heading 2"/>
    <w:basedOn w:val="normal1"/>
    <w:next w:val="normal1"/>
    <w:qFormat/>
    <w:pPr>
      <w:keepNext w:val="true"/>
      <w:keepLines/>
      <w:spacing w:lineRule="auto" w:line="276" w:before="360" w:after="120"/>
    </w:pPr>
    <w:rPr>
      <w:rFonts w:ascii="Calibri" w:hAnsi="Calibri" w:eastAsia="Calibri" w:cs="Calibri"/>
      <w:b/>
      <w:color w:val="17365D"/>
      <w:sz w:val="28"/>
      <w:szCs w:val="28"/>
    </w:rPr>
  </w:style>
  <w:style w:type="paragraph" w:styleId="Heading3">
    <w:name w:val="Heading 3"/>
    <w:basedOn w:val="normal1"/>
    <w:next w:val="normal1"/>
    <w:qFormat/>
    <w:pPr>
      <w:keepNext w:val="true"/>
      <w:keepLines/>
      <w:spacing w:lineRule="auto" w:line="240" w:before="240" w:after="0"/>
    </w:pPr>
    <w:rPr>
      <w:rFonts w:ascii="Cambria" w:hAnsi="Cambria" w:eastAsia="Cambria" w:cs="Cambria"/>
      <w:b/>
      <w:color w:val="000000"/>
    </w:rPr>
  </w:style>
  <w:style w:type="paragraph" w:styleId="Heading4">
    <w:name w:val="Heading 4"/>
    <w:basedOn w:val="normal1"/>
    <w:next w:val="normal1"/>
    <w:qFormat/>
    <w:pPr>
      <w:keepNext w:val="true"/>
      <w:keepLines/>
      <w:spacing w:lineRule="auto" w:line="276" w:before="280" w:after="80"/>
    </w:pPr>
    <w:rPr>
      <w:rFonts w:ascii="Cambria" w:hAnsi="Cambria" w:eastAsia="Cambria" w:cs="Cambria"/>
      <w:color w:val="666666"/>
    </w:rPr>
  </w:style>
  <w:style w:type="paragraph" w:styleId="Heading5">
    <w:name w:val="Heading 5"/>
    <w:basedOn w:val="normal1"/>
    <w:next w:val="normal1"/>
    <w:qFormat/>
    <w:pPr>
      <w:keepNext w:val="true"/>
      <w:keepLines/>
      <w:spacing w:lineRule="auto" w:line="276" w:before="240" w:after="80"/>
    </w:pPr>
    <w:rPr>
      <w:rFonts w:ascii="Cambria" w:hAnsi="Cambria" w:eastAsia="Cambria" w:cs="Cambria"/>
      <w:color w:val="666666"/>
    </w:rPr>
  </w:style>
  <w:style w:type="paragraph" w:styleId="Heading6">
    <w:name w:val="Heading 6"/>
    <w:basedOn w:val="normal1"/>
    <w:next w:val="normal1"/>
    <w:qFormat/>
    <w:pPr>
      <w:keepNext w:val="true"/>
      <w:keepLines/>
      <w:spacing w:lineRule="auto" w:line="276" w:before="240" w:after="80"/>
    </w:pPr>
    <w:rPr>
      <w:rFonts w:ascii="Cambria" w:hAnsi="Cambria" w:eastAsia="Cambria" w:cs="Cambria"/>
      <w:i/>
      <w:color w:val="666666"/>
    </w:rPr>
  </w:style>
  <w:style w:type="character" w:styleId="DefaultParagraphFont" w:default="1">
    <w:name w:val="Default Paragraph Font"/>
    <w:uiPriority w:val="1"/>
    <w:semiHidden/>
    <w:unhideWhenUsed/>
    <w:qFormat/>
    <w:rPr/>
  </w:style>
  <w:style w:type="character" w:styleId="annotationreference">
    <w:name w:val="annotation reference"/>
    <w:uiPriority w:val="99"/>
    <w:semiHidden/>
    <w:unhideWhenUsed/>
    <w:qFormat/>
    <w:rPr>
      <w:sz w:val="16"/>
      <w:szCs w:val="16"/>
    </w:rPr>
  </w:style>
  <w:style w:type="character" w:styleId="AssuntodocomentrioChar" w:customStyle="1">
    <w:name w:val="Assunto do comentário Char"/>
    <w:basedOn w:val="TextodecomentrioChar"/>
    <w:link w:val="annotationsubject"/>
    <w:uiPriority w:val="99"/>
    <w:semiHidden/>
    <w:qFormat/>
    <w:rPr>
      <w:b/>
      <w:bCs/>
      <w:sz w:val="20"/>
      <w:szCs w:val="20"/>
    </w:rPr>
  </w:style>
  <w:style w:type="character" w:styleId="TextodecomentrioChar" w:customStyle="1">
    <w:name w:val="Texto de comentário Char"/>
    <w:uiPriority w:val="99"/>
    <w:semiHidden/>
    <w:qFormat/>
    <w:rPr>
      <w:sz w:val="20"/>
      <w:szCs w:val="20"/>
    </w:rPr>
  </w:style>
  <w:style w:type="character" w:styleId="TextodebaloChar" w:customStyle="1">
    <w:name w:val="Texto de balão Char"/>
    <w:basedOn w:val="DefaultParagraphFont"/>
    <w:link w:val="BalloonText"/>
    <w:uiPriority w:val="99"/>
    <w:semiHidden/>
    <w:qFormat/>
    <w:rsid w:val="00d0063e"/>
    <w:rPr>
      <w:rFonts w:ascii="Segoe UI" w:hAnsi="Segoe UI" w:cs="Segoe UI"/>
      <w:sz w:val="18"/>
      <w:szCs w:val="18"/>
    </w:rPr>
  </w:style>
  <w:style w:type="character" w:styleId="PlaceholderText">
    <w:name w:val="Placeholder Text"/>
    <w:basedOn w:val="DefaultParagraphFont"/>
    <w:uiPriority w:val="99"/>
    <w:semiHidden/>
    <w:qFormat/>
    <w:rsid w:val="00d0063e"/>
    <w:rPr>
      <w:color w:val="808080"/>
    </w:rPr>
  </w:style>
  <w:style w:type="character" w:styleId="TextodenotaderodapChar" w:customStyle="1">
    <w:name w:val="Texto de nota de rodapé Char"/>
    <w:basedOn w:val="DefaultParagraphFont"/>
    <w:uiPriority w:val="99"/>
    <w:semiHidden/>
    <w:qFormat/>
    <w:rsid w:val="00152e90"/>
    <w:rPr>
      <w:rFonts w:ascii="Cambria" w:hAnsi="Cambria" w:asciiTheme="minorHAnsi" w:hAnsiTheme="minorHAnsi"/>
      <w:color w:themeColor="text1" w:val="000000"/>
      <w:sz w:val="20"/>
      <w:szCs w:val="20"/>
    </w:rPr>
  </w:style>
  <w:style w:type="character" w:styleId="Caracteresdenotaderodap">
    <w:name w:val="Caracteres de nota de rodapé"/>
    <w:basedOn w:val="DefaultParagraphFont"/>
    <w:uiPriority w:val="99"/>
    <w:semiHidden/>
    <w:unhideWhenUsed/>
    <w:qFormat/>
    <w:rsid w:val="00152e90"/>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f5d17"/>
    <w:rPr>
      <w:color w:themeColor="hyperlink" w:val="0000FF"/>
      <w:u w:val="single"/>
    </w:rPr>
  </w:style>
  <w:style w:type="character" w:styleId="UnresolvedMention">
    <w:name w:val="Unresolved Mention"/>
    <w:basedOn w:val="DefaultParagraphFont"/>
    <w:uiPriority w:val="99"/>
    <w:semiHidden/>
    <w:unhideWhenUsed/>
    <w:qFormat/>
    <w:rsid w:val="00cf5d17"/>
    <w:rPr>
      <w:color w:val="605E5C"/>
      <w:shd w:fill="E1DFDD" w:val="clear"/>
    </w:rPr>
  </w:style>
  <w:style w:type="character" w:styleId="CabealhoChar" w:customStyle="1">
    <w:name w:val="Cabeçalho Char"/>
    <w:basedOn w:val="DefaultParagraphFont"/>
    <w:uiPriority w:val="99"/>
    <w:qFormat/>
    <w:rsid w:val="00cf5d17"/>
    <w:rPr>
      <w:rFonts w:ascii="Cambria" w:hAnsi="Cambria" w:asciiTheme="minorHAnsi" w:hAnsiTheme="minorHAnsi"/>
      <w:color w:themeColor="text1" w:val="000000"/>
      <w:sz w:val="24"/>
    </w:rPr>
  </w:style>
  <w:style w:type="character" w:styleId="RodapChar" w:customStyle="1">
    <w:name w:val="Rodapé Char"/>
    <w:basedOn w:val="DefaultParagraphFont"/>
    <w:uiPriority w:val="99"/>
    <w:qFormat/>
    <w:rsid w:val="00cf5d17"/>
    <w:rPr>
      <w:rFonts w:ascii="Cambria" w:hAnsi="Cambria" w:asciiTheme="minorHAnsi" w:hAnsiTheme="minorHAnsi"/>
      <w:color w:themeColor="text1" w:val="000000"/>
      <w:sz w:val="24"/>
    </w:rPr>
  </w:style>
  <w:style w:type="character" w:styleId="FollowedHyperlink">
    <w:name w:val="FollowedHyperlink"/>
    <w:basedOn w:val="DefaultParagraphFont"/>
    <w:uiPriority w:val="99"/>
    <w:semiHidden/>
    <w:unhideWhenUsed/>
    <w:rsid w:val="0023200b"/>
    <w:rPr>
      <w:color w:themeColor="followedHyperlink" w:val="800080"/>
      <w:u w:val="single"/>
    </w:rPr>
  </w:style>
  <w:style w:type="character" w:styleId="EndnoteReference">
    <w:name w:val="Endnote Reference"/>
    <w:rPr>
      <w:vertAlign w:val="superscript"/>
    </w:rPr>
  </w:style>
  <w:style w:type="character" w:styleId="Caracteresdenotadefim">
    <w:name w:val="Caracteres de nota de fim"/>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Title">
    <w:name w:val="Title"/>
    <w:basedOn w:val="normal1"/>
    <w:next w:val="normal1"/>
    <w:qFormat/>
    <w:pPr>
      <w:keepNext w:val="true"/>
      <w:keepLines/>
      <w:spacing w:lineRule="auto" w:line="276" w:before="0" w:after="60"/>
    </w:pPr>
    <w:rPr>
      <w:rFonts w:ascii="Cambria" w:hAnsi="Cambria" w:eastAsia="Cambria" w:cs="Cambria"/>
      <w:color w:val="000000"/>
      <w:sz w:val="52"/>
      <w:szCs w:val="52"/>
    </w:rPr>
  </w:style>
  <w:style w:type="paragraph" w:styleId="annotationsubject">
    <w:name w:val="annotation subject"/>
    <w:basedOn w:val="AnnotationText"/>
    <w:next w:val="AnnotationText"/>
    <w:link w:val="AssuntodocomentrioChar"/>
    <w:uiPriority w:val="99"/>
    <w:semiHidden/>
    <w:unhideWhenUsed/>
    <w:qFormat/>
    <w:pPr/>
    <w:rPr>
      <w:b/>
      <w:bCs/>
    </w:rPr>
  </w:style>
  <w:style w:type="paragraph" w:styleId="AnnotationText">
    <w:name w:val="Annotation Text"/>
    <w:basedOn w:val="normal1"/>
    <w:link w:val="TextodecomentrioChar"/>
    <w:uiPriority w:val="99"/>
    <w:semiHidden/>
    <w:unhideWhenUsed/>
    <w:pPr/>
    <w:rPr>
      <w:rFonts w:ascii="Cambria" w:hAnsi="Cambria" w:eastAsia="Cambria" w:cs="Cambria" w:asciiTheme="minorHAnsi" w:hAnsiTheme="minorHAnsi"/>
      <w:color w:themeColor="text1" w:val="000000"/>
      <w:sz w:val="20"/>
      <w:szCs w:val="20"/>
    </w:rPr>
  </w:style>
  <w:style w:type="paragraph" w:styleId="BalloonText">
    <w:name w:val="Balloon Text"/>
    <w:basedOn w:val="normal1"/>
    <w:link w:val="TextodebaloChar"/>
    <w:uiPriority w:val="99"/>
    <w:semiHidden/>
    <w:unhideWhenUsed/>
    <w:qFormat/>
    <w:rsid w:val="00d0063e"/>
    <w:pPr/>
    <w:rPr>
      <w:rFonts w:ascii="Segoe UI" w:hAnsi="Segoe UI" w:eastAsia="Cambria" w:cs="Segoe UI"/>
      <w:color w:themeColor="text1" w:val="000000"/>
      <w:sz w:val="18"/>
      <w:szCs w:val="18"/>
    </w:rPr>
  </w:style>
  <w:style w:type="paragraph" w:styleId="ListParagraph">
    <w:name w:val="List Paragraph"/>
    <w:basedOn w:val="normal1"/>
    <w:uiPriority w:val="34"/>
    <w:qFormat/>
    <w:rsid w:val="00be4a71"/>
    <w:pPr>
      <w:spacing w:lineRule="auto" w:line="276" w:before="0" w:after="0"/>
      <w:ind w:left="720"/>
      <w:contextualSpacing/>
    </w:pPr>
    <w:rPr>
      <w:rFonts w:ascii="Cambria" w:hAnsi="Cambria" w:eastAsia="Cambria" w:cs="Cambria" w:asciiTheme="minorHAnsi" w:hAnsiTheme="minorHAnsi"/>
      <w:color w:themeColor="text1" w:val="000000"/>
    </w:rPr>
  </w:style>
  <w:style w:type="paragraph" w:styleId="NoSpacing">
    <w:name w:val="No Spacing"/>
    <w:uiPriority w:val="1"/>
    <w:qFormat/>
    <w:rsid w:val="00511124"/>
    <w:pPr>
      <w:widowControl/>
      <w:bidi w:val="0"/>
      <w:spacing w:before="0" w:after="0"/>
      <w:jc w:val="left"/>
    </w:pPr>
    <w:rPr>
      <w:rFonts w:ascii="Cambria" w:hAnsi="Cambria" w:asciiTheme="minorHAnsi" w:hAnsiTheme="minorHAnsi" w:eastAsia="Noto Serif CJK SC" w:cs="Noto Sans Devanagari"/>
      <w:color w:themeColor="text1" w:val="000000"/>
      <w:kern w:val="0"/>
      <w:sz w:val="24"/>
      <w:szCs w:val="24"/>
      <w:lang w:val="en-US" w:eastAsia="zh-CN" w:bidi="hi-IN"/>
    </w:rPr>
  </w:style>
  <w:style w:type="paragraph" w:styleId="Article" w:customStyle="1">
    <w:name w:val="Article"/>
    <w:basedOn w:val="NormalWeb"/>
    <w:qFormat/>
    <w:rsid w:val="00cf5d17"/>
    <w:pPr>
      <w:spacing w:lineRule="auto" w:line="240" w:before="0" w:after="120"/>
    </w:pPr>
    <w:rPr>
      <w:rFonts w:ascii="Cambria" w:hAnsi="Cambria" w:asciiTheme="minorHAnsi" w:hAnsiTheme="minorHAnsi"/>
      <w:sz w:val="22"/>
      <w:szCs w:val="20"/>
    </w:rPr>
  </w:style>
  <w:style w:type="paragraph" w:styleId="FootnoteText">
    <w:name w:val="Footnote Text"/>
    <w:basedOn w:val="normal1"/>
    <w:link w:val="TextodenotaderodapChar"/>
    <w:uiPriority w:val="99"/>
    <w:semiHidden/>
    <w:unhideWhenUsed/>
    <w:rsid w:val="00152e90"/>
    <w:pPr/>
    <w:rPr>
      <w:rFonts w:ascii="Cambria" w:hAnsi="Cambria" w:eastAsia="Cambria" w:cs="Cambria" w:asciiTheme="minorHAnsi" w:hAnsiTheme="minorHAnsi"/>
      <w:color w:themeColor="text1" w:val="000000"/>
      <w:sz w:val="20"/>
      <w:szCs w:val="20"/>
    </w:rPr>
  </w:style>
  <w:style w:type="paragraph" w:styleId="NormalWeb">
    <w:name w:val="Normal (Web)"/>
    <w:basedOn w:val="normal1"/>
    <w:uiPriority w:val="99"/>
    <w:semiHidden/>
    <w:unhideWhenUsed/>
    <w:qFormat/>
    <w:rsid w:val="00511124"/>
    <w:pPr>
      <w:spacing w:lineRule="auto" w:line="276"/>
    </w:pPr>
    <w:rPr>
      <w:rFonts w:eastAsia="Cambria"/>
      <w:color w:themeColor="text1" w:val="000000"/>
    </w:rPr>
  </w:style>
  <w:style w:type="paragraph" w:styleId="Cabealhoerodap">
    <w:name w:val="Cabeçalho e rodapé"/>
    <w:basedOn w:val="Normal"/>
    <w:qFormat/>
    <w:pPr/>
    <w:rPr/>
  </w:style>
  <w:style w:type="paragraph" w:styleId="Header">
    <w:name w:val="Header"/>
    <w:basedOn w:val="normal1"/>
    <w:link w:val="CabealhoChar"/>
    <w:uiPriority w:val="99"/>
    <w:unhideWhenUsed/>
    <w:rsid w:val="00cf5d17"/>
    <w:pPr>
      <w:tabs>
        <w:tab w:val="clear" w:pos="720"/>
        <w:tab w:val="center" w:pos="4680" w:leader="none"/>
        <w:tab w:val="right" w:pos="9360" w:leader="none"/>
      </w:tabs>
    </w:pPr>
    <w:rPr>
      <w:rFonts w:ascii="Cambria" w:hAnsi="Cambria" w:eastAsia="Cambria" w:cs="Cambria" w:asciiTheme="minorHAnsi" w:hAnsiTheme="minorHAnsi"/>
      <w:color w:themeColor="text1" w:val="000000"/>
    </w:rPr>
  </w:style>
  <w:style w:type="paragraph" w:styleId="Footer">
    <w:name w:val="Footer"/>
    <w:basedOn w:val="normal1"/>
    <w:link w:val="RodapChar"/>
    <w:uiPriority w:val="99"/>
    <w:unhideWhenUsed/>
    <w:rsid w:val="00cf5d17"/>
    <w:pPr>
      <w:tabs>
        <w:tab w:val="clear" w:pos="720"/>
        <w:tab w:val="center" w:pos="4680" w:leader="none"/>
        <w:tab w:val="right" w:pos="9360" w:leader="none"/>
      </w:tabs>
    </w:pPr>
    <w:rPr>
      <w:rFonts w:ascii="Cambria" w:hAnsi="Cambria" w:eastAsia="Cambria" w:cs="Cambria" w:asciiTheme="minorHAnsi" w:hAnsiTheme="minorHAnsi"/>
      <w:color w:themeColor="text1" w:val="000000"/>
    </w:rPr>
  </w:style>
  <w:style w:type="paragraph" w:styleId="Subtitle">
    <w:name w:val="Subtitle"/>
    <w:basedOn w:val="normal1"/>
    <w:next w:val="normal1"/>
    <w:qFormat/>
    <w:pPr>
      <w:keepNext w:val="true"/>
      <w:keepLines/>
      <w:spacing w:lineRule="auto" w:line="276" w:before="0" w:after="320"/>
    </w:pPr>
    <w:rPr>
      <w:rFonts w:ascii="Cambria" w:hAnsi="Cambria" w:eastAsia="Cambria" w:cs="Cambria"/>
      <w:color w:val="666666"/>
      <w:sz w:val="30"/>
      <w:szCs w:val="30"/>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table" w:default="1" w:styleId="TableNormal">
    <w:name w:val="TableNormal"/>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680f4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sourcecenter.byupathway.edu/pt/respostas-de-alta-qualidade-paraperguntas-abertas" TargetMode="Externa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7i0cj78n1k+TWmPyRdwzQRkgxew==">CgMxLjAyCGguZ2pkZ3hzMgloLjMwajB6bGwyCWguMWZvYjl0ZTgAciExSEY0YTNheFhsSzJLdTRNR3pCZFhSVERkQ1htbmQ4OVE=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8</Pages>
  <Words>2344</Words>
  <Characters>12030</Characters>
  <CharactersWithSpaces>14292</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2023-08-11T16:24:00Z</dcterms:created>
  <dc:creator/>
  <dc:description/>
  <dc:language>pt-BR</dc:language>
  <cp:lastModifiedBy/>
  <dcterms:modified xsi:type="dcterms:W3CDTF">2026-07-21T21:38:10Z</dcterms:modified>
  <cp:revision>1</cp:revision>
  <dc:subject/>
  <dc:title/>
</cp:coreProperties>
</file>