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9.odttf" ContentType="application/vnd.openxmlformats-officedocument.obfuscatedFont"/>
  <Override PartName="/word/fonts/font10.odttf" ContentType="application/vnd.openxmlformats-officedocument.obfuscatedFont"/>
  <Override PartName="/word/fonts/font13.odttf" ContentType="application/vnd.openxmlformats-officedocument.obfuscatedFont"/>
  <Override PartName="/word/fonts/font14.odttf" ContentType="application/vnd.openxmlformats-officedocument.obfuscatedFont"/>
  <Override PartName="/word/fonts/font8.odttf" ContentType="application/vnd.openxmlformats-officedocument.obfuscatedFont"/>
  <Override PartName="/word/fonts/font6.odttf" ContentType="application/vnd.openxmlformats-officedocument.obfuscatedFont"/>
  <Override PartName="/word/fonts/font5.odttf" ContentType="application/vnd.openxmlformats-officedocument.obfuscatedFont"/>
  <Override PartName="/word/fonts/font11.odttf" ContentType="application/vnd.openxmlformats-officedocument.obfuscatedFont"/>
  <Override PartName="/word/fonts/font12.odttf" ContentType="application/vnd.openxmlformats-officedocument.obfuscatedFont"/>
  <Override PartName="/word/fonts/font7.odttf" ContentType="application/vnd.openxmlformats-officedocument.obfuscatedFont"/>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pBdr>
          <w:bottom w:val="single" w:sz="6" w:space="1" w:color="000000"/>
        </w:pBdr>
        <w:spacing w:before="240" w:after="0"/>
        <w:rPr/>
      </w:pPr>
      <w:r>
        <w:rPr/>
        <w:t>S02 Atividade Prática: Parágrafo Básico</w:t>
      </w:r>
    </w:p>
    <w:p>
      <w:pPr>
        <w:pStyle w:val="Heading2"/>
        <w:rPr>
          <w:sz w:val="32"/>
          <w:szCs w:val="32"/>
        </w:rPr>
      </w:pPr>
      <w:r>
        <w:rPr>
          <w:sz w:val="32"/>
          <w:szCs w:val="32"/>
        </w:rPr>
        <w:t>Instruções</w:t>
      </w:r>
    </w:p>
    <w:p>
      <w:pPr>
        <w:pStyle w:val="Normal"/>
        <w:rPr>
          <w:sz w:val="20"/>
          <w:szCs w:val="20"/>
        </w:rPr>
      </w:pPr>
      <w:r>
        <w:rPr>
          <w:sz w:val="20"/>
          <w:szCs w:val="20"/>
        </w:rPr>
        <w:t>Escreva um parágrafo em resposta à proposta de escrita. Primeiro escreva as partes do parágrafo na ordem apropriada (oração inicial, detalhes de apoio e oração de conclusão). Depois cole as partes em um único parágrafo. Observe o exemplo para ver como isso é feito.</w:t>
      </w:r>
    </w:p>
    <w:p>
      <w:pPr>
        <w:pStyle w:val="Heading2"/>
        <w:rPr>
          <w:sz w:val="24"/>
          <w:szCs w:val="24"/>
        </w:rPr>
      </w:pPr>
      <w:r>
        <w:rPr>
          <w:sz w:val="24"/>
          <w:szCs w:val="24"/>
        </w:rPr>
        <w:t>Proposta de Escrita</w:t>
      </w:r>
    </w:p>
    <w:p>
      <w:pPr>
        <w:pStyle w:val="Normal"/>
        <w:rPr/>
      </w:pPr>
      <w:r>
        <w:rPr>
          <w:i/>
          <w:sz w:val="20"/>
          <w:szCs w:val="20"/>
        </w:rPr>
        <w:t>Escolha uma estratégia de aprendizagem do curso e explique por que ela pode ajudar você a ter sucesso no PathwayConnect.</w:t>
      </w:r>
    </w:p>
    <w:p>
      <w:pPr>
        <w:pStyle w:val="Heading2"/>
        <w:rPr>
          <w:color w:val="7030A0"/>
          <w:sz w:val="24"/>
          <w:szCs w:val="24"/>
        </w:rPr>
      </w:pPr>
      <w:r>
        <w:rPr>
          <w:color w:val="7030A0"/>
          <w:sz w:val="24"/>
          <w:szCs w:val="24"/>
        </w:rPr>
        <w:t>Exemplo de Parágrafo</w:t>
      </w:r>
    </w:p>
    <w:p>
      <w:pPr>
        <w:pStyle w:val="Normal"/>
        <w:rPr/>
      </w:pPr>
      <w:r>
        <w:rPr/>
      </w:r>
    </w:p>
    <w:p>
      <w:pPr>
        <w:pStyle w:val="Normal"/>
        <w:numPr>
          <w:ilvl w:val="0"/>
          <w:numId w:val="1"/>
        </w:numPr>
        <w:pBdr/>
        <w:rPr>
          <w:b/>
          <w:color w:val="000000"/>
          <w:sz w:val="18"/>
          <w:szCs w:val="18"/>
        </w:rPr>
      </w:pPr>
      <w:r>
        <w:rPr>
          <w:b/>
          <w:color w:val="000000"/>
          <w:sz w:val="18"/>
          <w:szCs w:val="18"/>
        </w:rPr>
        <w:t>Oração Inicial</w:t>
      </w:r>
    </w:p>
    <w:p>
      <w:pPr>
        <w:pStyle w:val="Normal"/>
        <w:pBdr/>
        <w:ind w:start="720"/>
        <w:rPr>
          <w:color w:val="000000"/>
          <w:sz w:val="18"/>
          <w:szCs w:val="18"/>
        </w:rPr>
      </w:pPr>
      <w:r>
        <w:rPr>
          <w:color w:val="000000"/>
          <w:sz w:val="18"/>
          <w:szCs w:val="18"/>
        </w:rPr>
        <w:t>Esta deve apresentar uma única ideia central para todo o parágrafo.</w:t>
      </w:r>
    </w:p>
    <w:p>
      <w:pPr>
        <w:pStyle w:val="Normal"/>
        <w:pBdr/>
        <w:rPr>
          <w:color w:val="000000"/>
          <w:sz w:val="18"/>
          <w:szCs w:val="18"/>
        </w:rPr>
      </w:pPr>
      <w:r>
        <w:rPr>
          <w:color w:val="000000"/>
          <w:sz w:val="18"/>
          <w:szCs w:val="18"/>
        </w:rPr>
      </w:r>
    </w:p>
    <w:p>
      <w:pPr>
        <w:pStyle w:val="Normal"/>
        <w:ind w:start="720"/>
        <w:rPr>
          <w:color w:val="366091"/>
          <w:sz w:val="20"/>
          <w:szCs w:val="20"/>
        </w:rPr>
      </w:pPr>
      <w:r>
        <w:rPr>
          <w:color w:val="366091"/>
          <w:sz w:val="20"/>
          <w:szCs w:val="20"/>
        </w:rPr>
        <w:t>"Ensinar para Aprender" é uma estratégia de aprendizagem que me ajudará a ter sucesso no PathwayConnect porque me forçará a pensar em mais de uma maneira de explicar conceitos.</w:t>
      </w:r>
    </w:p>
    <w:p>
      <w:pPr>
        <w:pStyle w:val="Normal"/>
        <w:ind w:start="720"/>
        <w:rPr>
          <w:color w:val="366091"/>
          <w:sz w:val="20"/>
          <w:szCs w:val="20"/>
        </w:rPr>
      </w:pPr>
      <w:r>
        <w:rPr>
          <w:color w:val="366091"/>
          <w:sz w:val="20"/>
          <w:szCs w:val="20"/>
        </w:rPr>
      </w:r>
    </w:p>
    <w:p>
      <w:pPr>
        <w:pStyle w:val="Normal"/>
        <w:numPr>
          <w:ilvl w:val="0"/>
          <w:numId w:val="1"/>
        </w:numPr>
        <w:pBdr/>
        <w:rPr>
          <w:b/>
          <w:color w:val="000000"/>
          <w:sz w:val="18"/>
          <w:szCs w:val="18"/>
        </w:rPr>
      </w:pPr>
      <w:r>
        <w:rPr>
          <w:b/>
          <w:color w:val="000000"/>
          <w:sz w:val="18"/>
          <w:szCs w:val="18"/>
        </w:rPr>
        <w:t>Detalhes de Apoio</w:t>
      </w:r>
    </w:p>
    <w:p>
      <w:pPr>
        <w:pStyle w:val="Normal"/>
        <w:ind w:start="720"/>
        <w:rPr>
          <w:sz w:val="18"/>
          <w:szCs w:val="18"/>
        </w:rPr>
      </w:pPr>
      <w:r>
        <w:rPr>
          <w:sz w:val="18"/>
          <w:szCs w:val="18"/>
        </w:rPr>
        <w:t>Apoia a oração inicial. Use dois detalhes de apoio da lista aprovada (ou seja, fato, depoimento de especialistas, estatísticas, experiência pessoal). Escreva orações completas.</w:t>
      </w:r>
    </w:p>
    <w:p>
      <w:pPr>
        <w:pStyle w:val="Normal"/>
        <w:rPr>
          <w:sz w:val="18"/>
          <w:szCs w:val="18"/>
        </w:rPr>
      </w:pPr>
      <w:r>
        <w:rPr>
          <w:sz w:val="18"/>
          <w:szCs w:val="18"/>
        </w:rPr>
      </w:r>
    </w:p>
    <w:p>
      <w:pPr>
        <w:pStyle w:val="Normal"/>
        <w:ind w:start="720"/>
        <w:rPr>
          <w:color w:val="366091"/>
          <w:sz w:val="20"/>
          <w:szCs w:val="20"/>
        </w:rPr>
      </w:pPr>
      <w:r>
        <w:rPr>
          <w:color w:val="366091"/>
          <w:sz w:val="20"/>
          <w:szCs w:val="20"/>
        </w:rPr>
        <w:t xml:space="preserve">Um importante estudo conduzido pelo psicólogo educacional Richard E. Mayer, publicado na edição de abril de 2014 da "Contemporary Educational Psychology", sustenta esse importante fato. Como ele observou, "Os resultados indicaram que aqueles [estudantes] que se prepararam para ensinar (mesmo sem realmente ensinar) superaram aqueles que se prepararam para um teste em uma avaliação imediata de compreensão... No geral, essas descobertas são consistentes com a ideia de que o ato de ensinar (ou seja, explicar o material para outros de uma nova maneira) é importante para a aprendizagem a longo prazo." Tenho visto esses resultados se comprovarem em minha própria vida enquanto busco ensinar aos outros o que sei de novas maneiras. Por exemplo, na semana passada, ensinei minha família sobre arrependimento. Como havia crianças pequenas presentes, questionei-me como poderia explicar para que todos entendessem. Como resultado, pensei em alguns exemplos para ilustrar meu ponto. Esse trabalho extra no meu cérebro criou conexões extras no meu cérebro. Foi o tipo de crescimento intelectual sobre o qual lemos quando aprendemos sobre mentalidade de crescimento. Agora, quando penso sobre arrependimento, tenho essas conexões para me ajudar a entendê-lo melhor. </w:t>
      </w:r>
    </w:p>
    <w:p>
      <w:pPr>
        <w:pStyle w:val="Normal"/>
        <w:ind w:firstLine="360"/>
        <w:rPr>
          <w:b/>
          <w:color w:val="FF0000"/>
          <w:sz w:val="20"/>
          <w:szCs w:val="20"/>
        </w:rPr>
      </w:pPr>
      <w:r>
        <w:rPr>
          <w:b/>
          <w:color w:val="FF0000"/>
          <w:sz w:val="20"/>
          <w:szCs w:val="20"/>
        </w:rPr>
      </w:r>
    </w:p>
    <w:p>
      <w:pPr>
        <w:pStyle w:val="Normal"/>
        <w:numPr>
          <w:ilvl w:val="0"/>
          <w:numId w:val="1"/>
        </w:numPr>
        <w:pBdr/>
        <w:rPr>
          <w:color w:val="000000"/>
          <w:sz w:val="18"/>
          <w:szCs w:val="18"/>
        </w:rPr>
      </w:pPr>
      <w:r>
        <w:rPr>
          <w:b/>
          <w:color w:val="000000"/>
          <w:sz w:val="18"/>
          <w:szCs w:val="18"/>
        </w:rPr>
        <w:t xml:space="preserve">Oração </w:t>
      </w:r>
      <w:r>
        <w:rPr>
          <w:b/>
          <w:sz w:val="18"/>
          <w:szCs w:val="18"/>
        </w:rPr>
        <w:t>de Conclusão</w:t>
      </w:r>
    </w:p>
    <w:p>
      <w:pPr>
        <w:pStyle w:val="Normal"/>
        <w:ind w:start="720"/>
        <w:rPr>
          <w:sz w:val="18"/>
          <w:szCs w:val="18"/>
        </w:rPr>
      </w:pPr>
      <w:r>
        <w:rPr>
          <w:sz w:val="18"/>
          <w:szCs w:val="18"/>
        </w:rPr>
        <w:t>Esta deve resumir os detalhes de apoio do parágrafo e reforçar a oração inicial.</w:t>
      </w:r>
    </w:p>
    <w:p>
      <w:pPr>
        <w:pStyle w:val="Normal"/>
        <w:rPr>
          <w:sz w:val="18"/>
          <w:szCs w:val="18"/>
        </w:rPr>
      </w:pPr>
      <w:r>
        <w:rPr>
          <w:sz w:val="18"/>
          <w:szCs w:val="18"/>
        </w:rPr>
      </w:r>
    </w:p>
    <w:p>
      <w:pPr>
        <w:pStyle w:val="Normal"/>
        <w:ind w:start="720"/>
        <w:rPr>
          <w:color w:val="366091"/>
          <w:sz w:val="20"/>
          <w:szCs w:val="20"/>
        </w:rPr>
      </w:pPr>
      <w:r>
        <w:rPr>
          <w:color w:val="366091"/>
          <w:sz w:val="20"/>
          <w:szCs w:val="20"/>
        </w:rPr>
        <w:t>Através do depoimento especializado de outros e de minha própria experiência pessoal, aprendi que, ao ensinar para aprender, os esforços que faço para ajudar outros a compreender me ajudarão a compreender também, e isso me ajudará a ter sucesso no PathwayConnect.</w:t>
      </w:r>
    </w:p>
    <w:p>
      <w:pPr>
        <w:pStyle w:val="Normal"/>
        <w:rPr>
          <w:rFonts w:ascii="Arial" w:hAnsi="Arial" w:eastAsia="Arial" w:cs="Arial"/>
          <w:b/>
          <w:sz w:val="20"/>
          <w:szCs w:val="20"/>
        </w:rPr>
      </w:pPr>
      <w:r>
        <w:rPr>
          <w:rFonts w:eastAsia="Arial" w:cs="Arial" w:ascii="Arial" w:hAnsi="Arial"/>
          <w:color w:val="FF0000"/>
          <w:sz w:val="20"/>
          <w:szCs w:val="20"/>
        </w:rPr>
      </w:r>
    </w:p>
    <w:p>
      <w:pPr>
        <w:pStyle w:val="Normal"/>
        <w:ind w:firstLine="720"/>
        <w:rPr>
          <w:rFonts w:ascii="Arial" w:hAnsi="Arial" w:eastAsia="Arial" w:cs="Arial"/>
          <w:b/>
          <w:sz w:val="20"/>
          <w:szCs w:val="20"/>
        </w:rPr>
      </w:pPr>
      <w:r>
        <w:rPr>
          <w:rFonts w:eastAsia="Arial" w:cs="Arial" w:ascii="Arial" w:hAnsi="Arial"/>
          <w:color w:val="FF0000"/>
          <w:sz w:val="20"/>
          <w:szCs w:val="20"/>
        </w:rPr>
        <w:t>Cole as partes do parágrafo juntas aqui. Faça recuo na primeira linha. Não separe as linhas com espaço.</w:t>
      </w:r>
    </w:p>
    <w:p>
      <w:pPr>
        <w:pStyle w:val="Normal"/>
        <w:ind w:start="360"/>
        <w:rPr>
          <w:i/>
          <w:color w:val="366091"/>
          <w:sz w:val="20"/>
          <w:szCs w:val="20"/>
        </w:rPr>
      </w:pPr>
      <w:r>
        <w:drawing>
          <wp:anchor behindDoc="1" distT="0" distB="0" distL="0" distR="0" simplePos="0" locked="0" layoutInCell="1" allowOverlap="1" relativeHeight="2">
            <wp:simplePos x="0" y="0"/>
            <wp:positionH relativeFrom="column">
              <wp:posOffset>-104775</wp:posOffset>
            </wp:positionH>
            <wp:positionV relativeFrom="paragraph">
              <wp:posOffset>94615</wp:posOffset>
            </wp:positionV>
            <wp:extent cx="571500" cy="210820"/>
            <wp:effectExtent l="0" t="0" r="0" b="0"/>
            <wp:wrapNone/>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m 1"/>
                    <pic:cNvPicPr>
                      <a:picLocks noChangeAspect="1" noChangeArrowheads="1"/>
                    </pic:cNvPicPr>
                  </pic:nvPicPr>
                  <pic:blipFill>
                    <a:blip r:embed="rId2"/>
                    <a:stretch>
                      <a:fillRect/>
                    </a:stretch>
                  </pic:blipFill>
                  <pic:spPr bwMode="auto">
                    <a:xfrm>
                      <a:off x="0" y="0"/>
                      <a:ext cx="571500" cy="210820"/>
                    </a:xfrm>
                    <a:prstGeom prst="rect">
                      <a:avLst/>
                    </a:prstGeom>
                    <a:noFill/>
                  </pic:spPr>
                </pic:pic>
              </a:graphicData>
            </a:graphic>
          </wp:anchor>
        </w:drawing>
      </w:r>
      <w:r>
        <w:rPr>
          <w:rFonts w:eastAsia="Arial" w:cs="Arial" w:ascii="Arial" w:hAnsi="Arial"/>
          <w:b/>
          <w:sz w:val="20"/>
          <w:szCs w:val="20"/>
        </w:rPr>
        <w:br/>
      </w:r>
      <w:r>
        <w:rPr>
          <w:color w:val="366091"/>
          <w:sz w:val="20"/>
          <w:szCs w:val="20"/>
        </w:rPr>
        <w:t xml:space="preserve">          </w:t>
      </w:r>
      <w:r>
        <w:rPr>
          <w:i/>
          <w:color w:val="366091"/>
          <w:sz w:val="20"/>
          <w:szCs w:val="20"/>
        </w:rPr>
        <w:t xml:space="preserve"> Ensinar para Aprender é uma estratégia de aprendizagem que me ajudará a ter sucesso no PathwayConnect porque me forçará a pensar em mais de uma maneira de explicar conceitos. Um importante estudo conduzido pelo psicólogo educacional Richard E. Mayer, publicado na edição de abril de 2014 da "Contemporary Educational Psychology", sustenta esse importante fato. Como ele observou, "Os resultados indicaram que aqueles [estudantes] que se prepararam para ensinar (mesmo sem realmente ensinar) superaram aqueles que se prepararam para um teste em uma avaliação imediata de compreensão... No geral, essas descobertas são consistentes com a ideia de que o ato de ensinar (ou seja, explicar o material para outros de uma nova maneira) é importante para a aprendizagem a longo prazo." Tenho visto esses resultados se comprovarem em minha própria vida enquanto busco ensinar aos outros o que sei de novas maneiras. Por exemplo, na semana passada, ensinei minha família sobre arrependimento. Como havia crianças pequenas presentes, questionei-me como poderia explicar para que todos entendessem. Como resultado, pensei em alguns exemplos para ilustrar meu ponto. Esse trabalho extra no meu cérebro criou conexões extras no meu cérebro. Foi o tipo de crescimento cerebral sobre o qual lemos quando aprendemos sobre mentalidade de crescimento. Agora, quando penso sobre arrependimento, tenho essas conexões para me ajudar a entendê-lo melhor. Através do depoimento especializado de outros e de minha própria experiência pessoal, aprendi que, ao ensinar para aprender, os esforços que faço para ajudar outros a compreender me ajudarão a compreender também, e isso me ajudará a ter sucesso no PathwayConnect. </w:t>
      </w:r>
    </w:p>
    <w:p>
      <w:pPr>
        <w:pStyle w:val="Normal"/>
        <w:jc w:val="end"/>
        <w:rPr/>
      </w:pPr>
      <w:r>
        <w:rPr/>
      </w:r>
    </w:p>
    <w:p>
      <w:pPr>
        <w:pStyle w:val="Heading2"/>
        <w:rPr>
          <w:sz w:val="24"/>
          <w:szCs w:val="24"/>
        </w:rPr>
      </w:pPr>
      <w:r>
        <w:rPr>
          <w:sz w:val="24"/>
          <w:szCs w:val="24"/>
        </w:rPr>
        <w:t>Proposta de Escrita</w:t>
      </w:r>
    </w:p>
    <w:p>
      <w:pPr>
        <w:pStyle w:val="Normal"/>
        <w:rPr/>
      </w:pPr>
      <w:r>
        <w:rPr>
          <w:i/>
        </w:rPr>
        <w:t>Escolha uma estratégia de aprendizagem do curso e explique por que ela pode ajudar você a ter sucesso no PathwayConnect</w:t>
      </w:r>
      <w:r>
        <w:rPr/>
        <w:t>.</w:t>
      </w:r>
    </w:p>
    <w:p>
      <w:pPr>
        <w:pStyle w:val="Normal"/>
        <w:ind w:start="360"/>
        <w:rPr>
          <w:color w:val="FF0000"/>
          <w:sz w:val="20"/>
          <w:szCs w:val="20"/>
        </w:rPr>
      </w:pPr>
      <w:r>
        <w:rPr>
          <w:color w:val="FF0000"/>
          <w:sz w:val="20"/>
          <w:szCs w:val="20"/>
        </w:rPr>
      </w:r>
    </w:p>
    <w:p>
      <w:pPr>
        <w:pStyle w:val="Normal"/>
        <w:numPr>
          <w:ilvl w:val="0"/>
          <w:numId w:val="2"/>
        </w:numPr>
        <w:pBdr/>
        <w:rPr>
          <w:b/>
          <w:color w:val="000000"/>
          <w:sz w:val="18"/>
          <w:szCs w:val="18"/>
        </w:rPr>
      </w:pPr>
      <w:r>
        <w:rPr>
          <w:b/>
          <w:color w:val="000000"/>
          <w:sz w:val="18"/>
          <w:szCs w:val="18"/>
        </w:rPr>
        <w:t>Oração Inicial</w:t>
      </w:r>
    </w:p>
    <w:p>
      <w:pPr>
        <w:pStyle w:val="Normal"/>
        <w:pBdr/>
        <w:ind w:start="720"/>
        <w:rPr>
          <w:color w:val="000000"/>
          <w:sz w:val="18"/>
          <w:szCs w:val="18"/>
        </w:rPr>
      </w:pPr>
      <w:r>
        <w:rPr>
          <w:color w:val="000000"/>
          <w:sz w:val="18"/>
          <w:szCs w:val="18"/>
        </w:rPr>
        <w:t>Esta deve apresentar uma única ideia central para todo o parágrafo.</w:t>
      </w:r>
    </w:p>
    <w:p>
      <w:pPr>
        <w:pStyle w:val="Normal"/>
        <w:pBdr/>
        <w:rPr>
          <w:color w:val="000000"/>
          <w:sz w:val="18"/>
          <w:szCs w:val="18"/>
        </w:rPr>
      </w:pPr>
      <w:r>
        <w:rPr>
          <w:color w:val="000000"/>
          <w:sz w:val="18"/>
          <w:szCs w:val="18"/>
        </w:rPr>
      </w:r>
    </w:p>
    <w:p>
      <w:pPr>
        <w:pStyle w:val="Normal"/>
        <w:ind w:start="720"/>
        <w:jc w:val="both"/>
        <w:rPr/>
      </w:pPr>
      <w:r>
        <w:rPr>
          <w:color w:val="0070C0"/>
          <w:sz w:val="20"/>
          <w:szCs w:val="20"/>
        </w:rPr>
        <w:tab/>
      </w:r>
      <w:r>
        <w:rPr>
          <w:color w:val="366091"/>
          <w:sz w:val="20"/>
          <w:szCs w:val="20"/>
        </w:rPr>
        <w:t>Ao estudar as estratégias de aprendizagem do curso Habilidades para a Vida, no PathwayConnect, identifiquei-me imediatamente com o método “Ensinar para Aprender”. Minha experiência prática confirma a eficácia dessa abordagem, que contribuiu significativamente para o meu desenvolvimento intelectual.</w:t>
      </w:r>
    </w:p>
    <w:p>
      <w:pPr>
        <w:pStyle w:val="Normal"/>
        <w:pBdr/>
        <w:ind w:start="720"/>
        <w:rPr>
          <w:color w:val="0070C0"/>
        </w:rPr>
      </w:pPr>
      <w:r>
        <w:rPr>
          <w:color w:val="0070C0"/>
        </w:rPr>
      </w:r>
    </w:p>
    <w:p>
      <w:pPr>
        <w:pStyle w:val="Normal"/>
        <w:numPr>
          <w:ilvl w:val="0"/>
          <w:numId w:val="2"/>
        </w:numPr>
        <w:pBdr/>
        <w:rPr>
          <w:b/>
          <w:color w:val="000000"/>
          <w:sz w:val="18"/>
          <w:szCs w:val="18"/>
        </w:rPr>
      </w:pPr>
      <w:r>
        <w:rPr>
          <w:b/>
          <w:color w:val="000000"/>
          <w:sz w:val="18"/>
          <w:szCs w:val="18"/>
        </w:rPr>
        <w:t>Detalhes de Apoio</w:t>
      </w:r>
    </w:p>
    <w:p>
      <w:pPr>
        <w:pStyle w:val="Normal"/>
        <w:ind w:start="720"/>
        <w:rPr>
          <w:sz w:val="18"/>
          <w:szCs w:val="18"/>
        </w:rPr>
      </w:pPr>
      <w:r>
        <w:rPr>
          <w:sz w:val="18"/>
          <w:szCs w:val="18"/>
        </w:rPr>
        <w:t>Apoie a oração inicial. Use dois detalhes de apoio da lista aprovada (ou seja, fato, depoimento de especialistas, estatísticas, experiência pessoal). Escreva orações completas.</w:t>
      </w:r>
    </w:p>
    <w:p>
      <w:pPr>
        <w:pStyle w:val="Normal"/>
        <w:rPr>
          <w:sz w:val="18"/>
          <w:szCs w:val="18"/>
        </w:rPr>
      </w:pPr>
      <w:r>
        <w:rPr>
          <w:sz w:val="18"/>
          <w:szCs w:val="18"/>
        </w:rPr>
      </w:r>
    </w:p>
    <w:p>
      <w:pPr>
        <w:pStyle w:val="Normal"/>
        <w:widowControl/>
        <w:bidi w:val="0"/>
        <w:spacing w:lineRule="auto" w:line="276"/>
        <w:ind w:hanging="0" w:start="737" w:end="0"/>
        <w:jc w:val="both"/>
        <w:rPr>
          <w:color w:val="366091"/>
          <w:sz w:val="20"/>
          <w:szCs w:val="20"/>
        </w:rPr>
      </w:pPr>
      <w:r>
        <w:rPr>
          <w:color w:val="366091"/>
          <w:sz w:val="20"/>
          <w:szCs w:val="20"/>
        </w:rPr>
        <w:tab/>
        <w:t>Em diversas ocasiões, tive a oportunidade de ministrar aulas em classes do evangelho nas alas que frequentei. O processo de preparação aguçava minha mente e me desafiava; o senso de responsabilidade elevava meu estado de alerta. Esse fenômeno é explicado pelo Efeito Protégé (</w:t>
      </w:r>
      <w:r>
        <w:rPr>
          <w:rStyle w:val="Emphasis"/>
          <w:color w:val="366091"/>
          <w:sz w:val="20"/>
          <w:szCs w:val="20"/>
        </w:rPr>
        <w:t>Protégé Effect</w:t>
      </w:r>
      <w:r>
        <w:rPr>
          <w:color w:val="366091"/>
          <w:sz w:val="20"/>
          <w:szCs w:val="20"/>
        </w:rPr>
        <w:t>), cuja premissa central indica que, ao se preparar para ensinar, o estudante tende a:</w:t>
      </w:r>
    </w:p>
    <w:p>
      <w:pPr>
        <w:pStyle w:val="BodyText"/>
        <w:widowControl/>
        <w:numPr>
          <w:ilvl w:val="0"/>
          <w:numId w:val="3"/>
        </w:numPr>
        <w:tabs>
          <w:tab w:val="clear" w:pos="720"/>
          <w:tab w:val="left" w:pos="0" w:leader="none"/>
        </w:tabs>
        <w:bidi w:val="0"/>
        <w:spacing w:lineRule="auto" w:line="276" w:before="0" w:after="0"/>
        <w:ind w:hanging="283" w:start="1446" w:end="0"/>
        <w:jc w:val="both"/>
        <w:rPr>
          <w:color w:val="366091"/>
          <w:sz w:val="20"/>
          <w:szCs w:val="20"/>
        </w:rPr>
      </w:pPr>
      <w:r>
        <w:rPr>
          <w:color w:val="366091"/>
          <w:sz w:val="20"/>
          <w:szCs w:val="20"/>
        </w:rPr>
        <w:t xml:space="preserve">Estudar de forma mais ativa; </w:t>
      </w:r>
    </w:p>
    <w:p>
      <w:pPr>
        <w:pStyle w:val="BodyText"/>
        <w:widowControl/>
        <w:numPr>
          <w:ilvl w:val="0"/>
          <w:numId w:val="3"/>
        </w:numPr>
        <w:tabs>
          <w:tab w:val="clear" w:pos="720"/>
          <w:tab w:val="left" w:pos="0" w:leader="none"/>
        </w:tabs>
        <w:bidi w:val="0"/>
        <w:spacing w:lineRule="auto" w:line="276" w:before="0" w:after="0"/>
        <w:ind w:hanging="283" w:start="1446" w:end="0"/>
        <w:jc w:val="both"/>
        <w:rPr>
          <w:color w:val="366091"/>
          <w:sz w:val="20"/>
          <w:szCs w:val="20"/>
        </w:rPr>
      </w:pPr>
      <w:r>
        <w:rPr>
          <w:color w:val="366091"/>
          <w:sz w:val="20"/>
          <w:szCs w:val="20"/>
        </w:rPr>
        <w:t xml:space="preserve">Organizar melhor as ideias; </w:t>
      </w:r>
    </w:p>
    <w:p>
      <w:pPr>
        <w:pStyle w:val="BodyText"/>
        <w:widowControl/>
        <w:numPr>
          <w:ilvl w:val="0"/>
          <w:numId w:val="3"/>
        </w:numPr>
        <w:tabs>
          <w:tab w:val="clear" w:pos="720"/>
          <w:tab w:val="left" w:pos="0" w:leader="none"/>
        </w:tabs>
        <w:bidi w:val="0"/>
        <w:spacing w:lineRule="auto" w:line="276" w:before="0" w:after="0"/>
        <w:ind w:hanging="283" w:start="1446" w:end="0"/>
        <w:jc w:val="both"/>
        <w:rPr>
          <w:color w:val="366091"/>
          <w:sz w:val="20"/>
          <w:szCs w:val="20"/>
        </w:rPr>
      </w:pPr>
      <w:r>
        <w:rPr>
          <w:color w:val="366091"/>
          <w:sz w:val="20"/>
          <w:szCs w:val="20"/>
        </w:rPr>
        <w:t xml:space="preserve">Identificar lacunas no próprio entendimento; </w:t>
      </w:r>
    </w:p>
    <w:p>
      <w:pPr>
        <w:pStyle w:val="BodyText"/>
        <w:widowControl/>
        <w:numPr>
          <w:ilvl w:val="0"/>
          <w:numId w:val="3"/>
        </w:numPr>
        <w:tabs>
          <w:tab w:val="clear" w:pos="720"/>
          <w:tab w:val="left" w:pos="0" w:leader="none"/>
        </w:tabs>
        <w:bidi w:val="0"/>
        <w:spacing w:lineRule="auto" w:line="276"/>
        <w:ind w:hanging="283" w:start="1446" w:end="0"/>
        <w:jc w:val="both"/>
        <w:rPr>
          <w:color w:val="366091"/>
          <w:sz w:val="20"/>
          <w:szCs w:val="20"/>
        </w:rPr>
      </w:pPr>
      <w:r>
        <w:rPr>
          <w:color w:val="366091"/>
          <w:sz w:val="20"/>
          <w:szCs w:val="20"/>
        </w:rPr>
        <w:t xml:space="preserve">Produzir explicações mais claras e estruturadas. </w:t>
      </w:r>
    </w:p>
    <w:p>
      <w:pPr>
        <w:pStyle w:val="BodyText"/>
        <w:widowControl/>
        <w:bidi w:val="0"/>
        <w:spacing w:lineRule="auto" w:line="276"/>
        <w:ind w:hanging="0" w:start="737" w:end="0"/>
        <w:jc w:val="both"/>
        <w:rPr/>
      </w:pPr>
      <w:r>
        <w:rPr>
          <w:color w:val="0070C0"/>
          <w:sz w:val="18"/>
          <w:szCs w:val="18"/>
        </w:rPr>
        <w:tab/>
      </w:r>
      <w:r>
        <w:rPr>
          <w:color w:val="366091"/>
          <w:sz w:val="20"/>
          <w:szCs w:val="20"/>
        </w:rPr>
        <w:t>Esse estado mental também se relaciona com a Prática de Recuperação (</w:t>
      </w:r>
      <w:r>
        <w:rPr>
          <w:rStyle w:val="Emphasis"/>
          <w:color w:val="366091"/>
          <w:sz w:val="20"/>
          <w:szCs w:val="20"/>
        </w:rPr>
        <w:t>Retrieval Practice</w:t>
      </w:r>
      <w:r>
        <w:rPr>
          <w:color w:val="366091"/>
          <w:sz w:val="20"/>
          <w:szCs w:val="20"/>
        </w:rPr>
        <w:t>), na qual o ato de "lembrar" impulsiona o aprendizado. A recuperação é um mecanismo poderoso pois, ao explicar um conceito, somos forçados a resgatá-lo da memória em vez de apenas relê-lo. Esse esforço cognitivo fortalece as memórias de longo prazo, resultando em uma retenção muito superior.</w:t>
      </w:r>
    </w:p>
    <w:p>
      <w:pPr>
        <w:pStyle w:val="Normal"/>
        <w:pBdr/>
        <w:ind w:start="720"/>
        <w:rPr>
          <w:color w:val="000000"/>
          <w:sz w:val="18"/>
          <w:szCs w:val="18"/>
        </w:rPr>
      </w:pPr>
      <w:r>
        <w:rPr>
          <w:color w:val="000000"/>
          <w:sz w:val="18"/>
          <w:szCs w:val="18"/>
        </w:rPr>
      </w:r>
    </w:p>
    <w:p>
      <w:pPr>
        <w:pStyle w:val="Normal"/>
        <w:numPr>
          <w:ilvl w:val="0"/>
          <w:numId w:val="2"/>
        </w:numPr>
        <w:pBdr/>
        <w:rPr>
          <w:color w:val="000000"/>
          <w:sz w:val="18"/>
          <w:szCs w:val="18"/>
        </w:rPr>
      </w:pPr>
      <w:r>
        <w:rPr>
          <w:b/>
          <w:color w:val="000000"/>
          <w:sz w:val="18"/>
          <w:szCs w:val="18"/>
        </w:rPr>
        <w:t xml:space="preserve">Oração </w:t>
      </w:r>
      <w:r>
        <w:rPr>
          <w:b/>
          <w:sz w:val="18"/>
          <w:szCs w:val="18"/>
        </w:rPr>
        <w:t>de Conclusão</w:t>
      </w:r>
    </w:p>
    <w:p>
      <w:pPr>
        <w:pStyle w:val="Normal"/>
        <w:ind w:start="720"/>
        <w:rPr>
          <w:sz w:val="18"/>
          <w:szCs w:val="18"/>
        </w:rPr>
      </w:pPr>
      <w:r>
        <w:rPr>
          <w:sz w:val="18"/>
          <w:szCs w:val="18"/>
        </w:rPr>
        <w:t>Esta deve resumir os detalhes de apoio do parágrafo e reforçar a oração inicial.</w:t>
      </w:r>
    </w:p>
    <w:p>
      <w:pPr>
        <w:pStyle w:val="Normal"/>
        <w:rPr>
          <w:color w:val="366091"/>
          <w:sz w:val="20"/>
          <w:szCs w:val="20"/>
        </w:rPr>
      </w:pPr>
      <w:r>
        <w:rPr>
          <w:color w:val="366091"/>
          <w:sz w:val="20"/>
          <w:szCs w:val="20"/>
        </w:rPr>
      </w:r>
    </w:p>
    <w:p>
      <w:pPr>
        <w:pStyle w:val="BodyText"/>
        <w:widowControl/>
        <w:bidi w:val="0"/>
        <w:ind w:hanging="0" w:start="737" w:end="0"/>
        <w:jc w:val="both"/>
        <w:rPr>
          <w:color w:val="366091"/>
          <w:sz w:val="20"/>
          <w:szCs w:val="20"/>
        </w:rPr>
      </w:pPr>
      <w:r>
        <w:rPr>
          <w:color w:val="366091"/>
          <w:sz w:val="20"/>
          <w:szCs w:val="20"/>
        </w:rPr>
        <w:tab/>
        <w:t>Em suma, testifico por experiência própria que a estratégia “Ensinar para Aprender” é uma ferramenta poderosa. Ao ativar gatilhos como o Efeito Protégé e a Prática de Recuperação, o método amplia o ganho de conhecimento e, consequentemente, a consolidação da aprendizagem.</w:t>
      </w:r>
    </w:p>
    <w:p>
      <w:pPr>
        <w:pStyle w:val="Normal"/>
        <w:rPr>
          <w:rFonts w:ascii="Arial" w:hAnsi="Arial" w:eastAsia="Arial" w:cs="Arial"/>
          <w:b/>
          <w:sz w:val="20"/>
          <w:szCs w:val="20"/>
        </w:rPr>
      </w:pPr>
      <w:bookmarkStart w:id="0" w:name="_heading=h.5ilrth63ekzi"/>
      <w:bookmarkEnd w:id="0"/>
      <w:r>
        <w:rPr>
          <w:rFonts w:eastAsia="Arial" w:cs="Arial" w:ascii="Arial" w:hAnsi="Arial"/>
          <w:color w:val="FF0000"/>
          <w:sz w:val="20"/>
          <w:szCs w:val="20"/>
        </w:rPr>
        <w:t>Cole as partes do parágrafo juntas aqui. Faça recuo na primeira linha. Não separe as linhas com espaço.</w:t>
      </w:r>
    </w:p>
    <w:p>
      <w:pPr>
        <w:pStyle w:val="Normal"/>
        <w:rPr>
          <w:rFonts w:ascii="Arial" w:hAnsi="Arial" w:eastAsia="Arial" w:cs="Arial"/>
          <w:b/>
          <w:sz w:val="20"/>
          <w:szCs w:val="20"/>
        </w:rPr>
      </w:pPr>
      <w:r>
        <w:rPr>
          <w:rFonts w:eastAsia="Arial" w:cs="Arial" w:ascii="Arial" w:hAnsi="Arial"/>
          <w:b/>
          <w:color w:val="FF0000"/>
          <w:sz w:val="20"/>
          <w:szCs w:val="20"/>
        </w:rPr>
      </w:r>
    </w:p>
    <w:p>
      <w:pPr>
        <w:pStyle w:val="Normal"/>
        <w:ind w:start="720"/>
        <w:jc w:val="both"/>
        <w:rPr>
          <w:color w:val="366091"/>
        </w:rPr>
      </w:pPr>
      <w:r>
        <w:rPr>
          <w:color w:val="366091"/>
          <w:sz w:val="20"/>
          <w:szCs w:val="20"/>
        </w:rPr>
        <w:tab/>
        <w:t>Ao estudar as estratégias de aprendizagem do curso Habilidades para a Vida, no PathwayConnect, identifiquei-me imediatamente com o método “Ensinar para Aprender”. Minha experiência prática confirma a eficácia dessa abordagem, que contribuiu significativamente para o meu desenvolvimento intelectual.Em diversas ocasiões, tive a oportunidade de ministrar aulas em classes do evangelho nas alas que frequentei. O processo de preparação aguçava minha mente e me desafiava; o senso de responsabilidade elevava meu estado de alerta. Esse fenômeno é explicado pelo Efeito Protégé (</w:t>
      </w:r>
      <w:r>
        <w:rPr>
          <w:rStyle w:val="Emphasis"/>
          <w:color w:val="366091"/>
          <w:sz w:val="20"/>
          <w:szCs w:val="20"/>
        </w:rPr>
        <w:t>Protégé Effect</w:t>
      </w:r>
      <w:r>
        <w:rPr>
          <w:color w:val="366091"/>
          <w:sz w:val="20"/>
          <w:szCs w:val="20"/>
        </w:rPr>
        <w:t>), cuja premissa central indica que, ao se preparar para ensinar, o estudante tende a: Estudar de forma mais ativa; Organizar melhor as ideias; Identificar lacunas no próprio entendimento; Produzir explicações mais claras e estruturadas. Esse estado mental também se relaciona com a Prática de Recuperação (</w:t>
      </w:r>
      <w:r>
        <w:rPr>
          <w:rStyle w:val="Emphasis"/>
          <w:color w:val="366091"/>
          <w:sz w:val="20"/>
          <w:szCs w:val="20"/>
        </w:rPr>
        <w:t>Retrieval Practice</w:t>
      </w:r>
      <w:r>
        <w:rPr>
          <w:color w:val="366091"/>
          <w:sz w:val="20"/>
          <w:szCs w:val="20"/>
        </w:rPr>
        <w:t>), na qual o ato de "lembrar" impulsiona o aprendizado. A recuperação é um mecanismo poderoso pois, ao explicar um conceito, somos forçados a resgatá-lo da memória em vez de apenas relê-lo. Esse esforço cognitivo fortalece as memórias de longo prazo, resultando em uma retenção muito superior. Em suma, testifico por experiência própria que a estratégia “Ensinar para Aprender” é uma ferramenta poderosa. Ao ativar gatilhos como o Efeito Protégé e a Prática de Recuperação, o método amplia o ganho de conhecimento e, consequentemente, a consolidação da aprendizagem.</w:t>
      </w:r>
    </w:p>
    <w:sectPr>
      <w:type w:val="nextPage"/>
      <w:pgSz w:w="12240" w:h="15840"/>
      <w:pgMar w:left="720" w:right="720" w:gutter="0" w:header="0" w:top="720" w:footer="0" w:bottom="806"/>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Calibri">
    <w:charset w:val="01" w:characterSet="utf-8"/>
    <w:family w:val="swiss"/>
    <w:pitch w:val="variable"/>
    <w:embedRegular r:id="rId5" w:fontKey="{05014A78-CABC-4EF0-12AC-5CD89AEFDE05}"/>
    <w:embedBold r:id="rId6" w:fontKey="{06014A78-CABC-4EF0-12AC-5CD89AEFDE06}"/>
    <w:embedItalic r:id="rId7" w:fontKey="{07014A78-CABC-4EF0-12AC-5CD89AEFDE07}"/>
  </w:font>
  <w:font w:name="OpenSymbol">
    <w:altName w:val="Arial Unicode MS"/>
    <w:charset w:val="02"/>
    <w:family w:val="auto"/>
    <w:pitch w:val="default"/>
    <w:embedRegular r:id="rId8" w:fontKey="{08014A78-CABC-4EF0-12AC-5CD89AEFDE08}"/>
  </w:font>
  <w:font w:name="Liberation Sans">
    <w:altName w:val="Arial"/>
    <w:charset w:val="01" w:characterSet="utf-8"/>
    <w:family w:val="swiss"/>
    <w:pitch w:val="variable"/>
    <w:embedRegular r:id="rId9" w:fontKey="{09014A78-CABC-4EF0-12AC-5CD89AEFDE09}"/>
    <w:embedBold r:id="rId10" w:fontKey="{0A014A78-CABC-4EF0-12AC-5CD89AEFDE0A}"/>
    <w:embedItalic r:id="rId11" w:fontKey="{0B014A78-CABC-4EF0-12AC-5CD89AEFDE0B}"/>
    <w:embedBoldItalic r:id="rId12" w:fontKey="{0C014A78-CABC-4EF0-12AC-5CD89AEFDE0C}"/>
  </w:font>
  <w:font w:name="Georgia">
    <w:charset w:val="01" w:characterSet="utf-8"/>
    <w:family w:val="roman"/>
    <w:pitch w:val="variable"/>
    <w:embedRegular r:id="rId13" w:fontKey="{0D014A78-CABC-4EF0-12AC-5CD89AEFDE0D}"/>
    <w:embedItalic r:id="rId14" w:fontKey="{0E014A78-CABC-4EF0-12AC-5CD89AEFDE0E}"/>
  </w:font>
  <w:font w:name="Times New Roman">
    <w:charset w:val="01" w:characterSet="utf-8"/>
    <w:family w:val="roman"/>
    <w:pitch w:val="variable"/>
  </w:font>
  <w:font w:name="Arial">
    <w:charset w:val="01" w:characterSet="utf-8"/>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200"/>
  <w:embedTrueTypeFonts/>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4"/>
        <w:szCs w:val="24"/>
        <w:lang w:val="pt-BR"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before="0" w:after="0"/>
      <w:jc w:val="start"/>
    </w:pPr>
    <w:rPr>
      <w:rFonts w:ascii="Calibri" w:hAnsi="Calibri" w:eastAsia="Calibri" w:cs="Calibri"/>
      <w:color w:val="auto"/>
      <w:kern w:val="0"/>
      <w:sz w:val="24"/>
      <w:szCs w:val="24"/>
      <w:lang w:val="pt-BR" w:eastAsia="en-US" w:bidi="ar-SA"/>
    </w:rPr>
  </w:style>
  <w:style w:type="paragraph" w:styleId="Heading1">
    <w:name w:val="heading 1"/>
    <w:basedOn w:val="Normal"/>
    <w:next w:val="Normal"/>
    <w:uiPriority w:val="9"/>
    <w:qFormat/>
    <w:pPr>
      <w:keepNext w:val="true"/>
      <w:keepLines/>
      <w:spacing w:before="240" w:after="0"/>
      <w:outlineLvl w:val="0"/>
    </w:pPr>
    <w:rPr>
      <w:b/>
      <w:sz w:val="32"/>
      <w:szCs w:val="32"/>
    </w:rPr>
  </w:style>
  <w:style w:type="paragraph" w:styleId="Heading2">
    <w:name w:val="heading 2"/>
    <w:basedOn w:val="Normal"/>
    <w:next w:val="Normal"/>
    <w:uiPriority w:val="9"/>
    <w:unhideWhenUsed/>
    <w:qFormat/>
    <w:pPr>
      <w:keepNext w:val="true"/>
      <w:keepLines/>
      <w:spacing w:before="40" w:after="0"/>
      <w:outlineLvl w:val="1"/>
    </w:pPr>
    <w:rPr>
      <w:b/>
      <w:color w:val="3B3838"/>
      <w:sz w:val="28"/>
      <w:szCs w:val="28"/>
    </w:rPr>
  </w:style>
  <w:style w:type="paragraph" w:styleId="Heading3">
    <w:name w:val="heading 3"/>
    <w:basedOn w:val="Normal"/>
    <w:next w:val="Normal"/>
    <w:uiPriority w:val="9"/>
    <w:semiHidden/>
    <w:unhideWhenUsed/>
    <w:qFormat/>
    <w:pPr>
      <w:keepNext w:val="true"/>
      <w:keepLines/>
      <w:spacing w:before="280" w:after="80"/>
      <w:outlineLvl w:val="2"/>
    </w:pPr>
    <w:rPr>
      <w:b/>
      <w:sz w:val="28"/>
      <w:szCs w:val="28"/>
    </w:rPr>
  </w:style>
  <w:style w:type="paragraph" w:styleId="Heading4">
    <w:name w:val="heading 4"/>
    <w:basedOn w:val="Normal"/>
    <w:next w:val="Normal"/>
    <w:uiPriority w:val="9"/>
    <w:semiHidden/>
    <w:unhideWhenUsed/>
    <w:qFormat/>
    <w:pPr>
      <w:keepNext w:val="true"/>
      <w:keepLines/>
      <w:spacing w:before="240" w:after="40"/>
      <w:outlineLvl w:val="3"/>
    </w:pPr>
    <w:rPr>
      <w:b/>
    </w:rPr>
  </w:style>
  <w:style w:type="paragraph" w:styleId="Heading5">
    <w:name w:val="heading 5"/>
    <w:basedOn w:val="Normal"/>
    <w:next w:val="Normal"/>
    <w:uiPriority w:val="9"/>
    <w:semiHidden/>
    <w:unhideWhenUsed/>
    <w:qFormat/>
    <w:pPr>
      <w:keepNext w:val="true"/>
      <w:keepLines/>
      <w:spacing w:before="220" w:after="40"/>
      <w:outlineLvl w:val="4"/>
    </w:pPr>
    <w:rPr>
      <w:b/>
      <w:sz w:val="22"/>
      <w:szCs w:val="22"/>
    </w:rPr>
  </w:style>
  <w:style w:type="paragraph" w:styleId="Heading6">
    <w:name w:val="heading 6"/>
    <w:basedOn w:val="Normal"/>
    <w:next w:val="Normal"/>
    <w:uiPriority w:val="9"/>
    <w:semiHidden/>
    <w:unhideWhenUsed/>
    <w:qFormat/>
    <w:pPr>
      <w:keepNext w:val="true"/>
      <w:keepLines/>
      <w:spacing w:before="200" w:after="40"/>
      <w:outlineLvl w:val="5"/>
    </w:pPr>
    <w:rPr>
      <w:b/>
      <w:sz w:val="20"/>
      <w:szCs w:val="20"/>
    </w:rPr>
  </w:style>
  <w:style w:type="character" w:styleId="DefaultParagraphFont" w:default="1">
    <w:name w:val="Default Paragraph Font"/>
    <w:uiPriority w:val="1"/>
    <w:unhideWhenUsed/>
    <w:qFormat/>
    <w:rPr/>
  </w:style>
  <w:style w:type="character" w:styleId="PlaceholderText">
    <w:name w:val="Placeholder Text"/>
    <w:basedOn w:val="DefaultParagraphFont"/>
    <w:uiPriority w:val="99"/>
    <w:semiHidden/>
    <w:qFormat/>
    <w:rsid w:val="00e36fc6"/>
    <w:rPr>
      <w:color w:val="808080"/>
    </w:rPr>
  </w:style>
  <w:style w:type="character" w:styleId="Emphasis">
    <w:name w:val="Emphasis"/>
    <w:qFormat/>
    <w:rPr>
      <w:i/>
      <w:iCs/>
    </w:rPr>
  </w:style>
  <w:style w:type="character" w:styleId="Marcadores">
    <w:name w:val="Marcadores"/>
    <w:qFormat/>
    <w:rPr>
      <w:rFonts w:ascii="OpenSymbol" w:hAnsi="OpenSymbol" w:eastAsia="OpenSymbol" w:cs="OpenSymbol"/>
    </w:rPr>
  </w:style>
  <w:style w:type="paragraph" w:styleId="Ttulo">
    <w:name w:val="Título"/>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ndice">
    <w:name w:val="Índice"/>
    <w:basedOn w:val="Normal"/>
    <w:qFormat/>
    <w:pPr>
      <w:suppressLineNumbers/>
    </w:pPr>
    <w:rPr>
      <w:rFonts w:cs="Noto Sans Devanagari"/>
    </w:rPr>
  </w:style>
  <w:style w:type="paragraph" w:styleId="Title">
    <w:name w:val="Title"/>
    <w:basedOn w:val="Normal"/>
    <w:next w:val="Normal"/>
    <w:uiPriority w:val="10"/>
    <w:qFormat/>
    <w:pPr>
      <w:keepNext w:val="true"/>
      <w:keepLines/>
      <w:spacing w:before="480" w:after="120"/>
    </w:pPr>
    <w:rPr>
      <w:b/>
      <w:sz w:val="72"/>
      <w:szCs w:val="72"/>
    </w:rPr>
  </w:style>
  <w:style w:type="paragraph" w:styleId="Subtitle">
    <w:name w:val="Subtitle"/>
    <w:basedOn w:val="Normal"/>
    <w:next w:val="Normal"/>
    <w:uiPriority w:val="11"/>
    <w:qFormat/>
    <w:pPr>
      <w:keepNext w:val="true"/>
      <w:keepLines/>
      <w:spacing w:before="360" w:after="80"/>
    </w:pPr>
    <w:rPr>
      <w:rFonts w:ascii="Georgia" w:hAnsi="Georgia" w:eastAsia="Georgia" w:cs="Georgia"/>
      <w:i/>
      <w:color w:val="666666"/>
      <w:sz w:val="48"/>
      <w:szCs w:val="48"/>
    </w:rPr>
  </w:style>
  <w:style w:type="paragraph" w:styleId="ListParagraph">
    <w:name w:val="List Paragraph"/>
    <w:basedOn w:val="Normal"/>
    <w:uiPriority w:val="34"/>
    <w:qFormat/>
    <w:rsid w:val="006a552e"/>
    <w:pPr>
      <w:spacing w:before="0" w:after="0"/>
      <w:ind w:start="720"/>
      <w:contextualSpacing/>
    </w:pPr>
    <w:rPr/>
  </w:style>
  <w:style w:type="paragraph" w:styleId="NormalWeb">
    <w:name w:val="Normal (Web)"/>
    <w:basedOn w:val="Normal"/>
    <w:uiPriority w:val="99"/>
    <w:unhideWhenUsed/>
    <w:qFormat/>
    <w:rsid w:val="007d519c"/>
    <w:pPr>
      <w:spacing w:beforeAutospacing="1" w:afterAutospacing="1"/>
    </w:pPr>
    <w:rPr>
      <w:rFonts w:ascii="Times New Roman" w:hAnsi="Times New Roman" w:eastAsia="Times New Roman" w:cs="Times New Roman"/>
    </w:rPr>
  </w:style>
  <w:style w:type="numbering" w:styleId="Semlista" w:default="1">
    <w:name w:val="Sem lista"/>
    <w:uiPriority w:val="99"/>
    <w:semiHidden/>
    <w:unhideWhenUsed/>
    <w:qFormat/>
  </w:style>
  <w:style w:type="table" w:default="1" w:styleId="Tabelanormal">
    <w:name w:val="Normal Table"/>
    <w:uiPriority w:val="99"/>
    <w:semiHidden/>
    <w:unhideWhenUsed/>
    <w:tblPr>
      <w:tblCellMar>
        <w:top w:w="0" w:type="dxa"/>
        <w:left w:w="108" w:type="dxa"/>
        <w:bottom w:w="0" w:type="dxa"/>
        <w:right w:w="108" w:type="dxa"/>
      </w:tblCellMar>
    </w:tblPr>
  </w:style>
  <w:style w:type="table" w:customStyle="1" w:styleId="TableNormal">
    <w:name w:val="Table Normal"/>
    <w:tblPr>
      <w:tblCellMar>
        <w:top w:w="0" w:type="dxa"/>
        <w:left w:w="0" w:type="dxa"/>
        <w:bottom w:w="0" w:type="dxa"/>
        <w:right w:w="0" w:type="dxa"/>
      </w:tblCellMar>
    </w:tblPr>
  </w:style>
  <w:style w:type="table" w:styleId="Tabelacomgrade">
    <w:name w:val="Table Grid"/>
    <w:basedOn w:val="Tabelanormal"/>
    <w:uiPriority w:val="39"/>
    <w:rsid w:val="007d519c"/>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customXml" Target="../customXml/item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 Id="rId8" Type="http://schemas.openxmlformats.org/officeDocument/2006/relationships/font" Target="fonts/font8.odttf"/><Relationship Id="rId9" Type="http://schemas.openxmlformats.org/officeDocument/2006/relationships/font" Target="fonts/font9.odttf"/><Relationship Id="rId10" Type="http://schemas.openxmlformats.org/officeDocument/2006/relationships/font" Target="fonts/font10.odttf"/><Relationship Id="rId11" Type="http://schemas.openxmlformats.org/officeDocument/2006/relationships/font" Target="fonts/font11.odttf"/><Relationship Id="rId12" Type="http://schemas.openxmlformats.org/officeDocument/2006/relationships/font" Target="fonts/font12.odttf"/><Relationship Id="rId13" Type="http://schemas.openxmlformats.org/officeDocument/2006/relationships/font" Target="fonts/font13.odttf"/><Relationship Id="rId14" Type="http://schemas.openxmlformats.org/officeDocument/2006/relationships/font" Target="fonts/font14.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hKSCMxn4MfJ7CDUBt59CHLatYVqw==">CgMxLjAyDmguNWlscnRoNjNla3ppOAByITE1TXFSN1YtX2xoT0pTX0p3M3UyQm04UDdlUXFBa3BVYw==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11</TotalTime>
  <Application>LibreOffice/25.8.4.2$Linux_X86_64 LibreOffice_project/580$Build-2</Application>
  <AppVersion>15.0000</AppVersion>
  <Pages>2</Pages>
  <Words>1206</Words>
  <Characters>6766</Characters>
  <CharactersWithSpaces>7950</CharactersWithSpaces>
  <Paragraphs>35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2025-04-22T19:43:00Z</dcterms:created>
  <dc:creator>Vanessa Machado</dc:creator>
  <dc:description/>
  <dc:language>pt-BR</dc:language>
  <cp:lastModifiedBy/>
  <dcterms:modified xsi:type="dcterms:W3CDTF">2026-03-10T22:28:38Z</dcterms:modified>
  <cp:revision>5</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mplianceAssetId">
    <vt:lpwstr/>
  </property>
  <property fmtid="{D5CDD505-2E9C-101B-9397-08002B2CF9AE}" pid="3" name="ContentTypeId">
    <vt:lpwstr>0x010100BE4092ABB3D9F947AB713D875CA16C5B</vt:lpwstr>
  </property>
  <property fmtid="{D5CDD505-2E9C-101B-9397-08002B2CF9AE}" pid="4" name="MediaServiceImageTags">
    <vt:lpwstr/>
  </property>
  <property fmtid="{D5CDD505-2E9C-101B-9397-08002B2CF9AE}" pid="5" name="TriggerFlowInfo">
    <vt:lpwstr/>
  </property>
  <property fmtid="{D5CDD505-2E9C-101B-9397-08002B2CF9AE}" pid="6" name="_ExtendedDescription">
    <vt:lpwstr/>
  </property>
</Properties>
</file>