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Tabela de Precificação 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Nossa estratégia de precificação para essa fase inicial parte de um princípio simples: sem professores cadastrados, a plataforma não tem conteúdo e, sem conteúdo, não há razão para os estudantes acessarem. Por isso, decidimos que o cadastro de professores será completamente gratuito no início. Os valores abaixo foram pensados para que a plataforma seja sustentável sem afastar os usuários com taxas altas antes de termos uma base sólida de pessoas.</w:t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Serviço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Quem paga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Valor ou comissão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Observações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Acesso a materiais gratuitos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Ninguém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Gratuito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Professores podem oferecer conteúdo grátis para atrair alunos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Compra de materiais pagos (apostilas, vídeos, exercícios)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Estudante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Preço definido pelo professor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 professor determina o valor de cada material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Comissão sobre venda de materiais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Professor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5% a 10% do valor cobrado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Retido automaticamente no momento da transação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Contratação de aulas com o professor (presencial ou remoto)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Estudante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Preço definido pelo professor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 professor define seu valor por hora ou por sessão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Comissão sobre aulas contratadas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Professor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Percentual a definir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Será ajustado conforme a plataforma crescer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Cadastro de professor na plataforma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Professor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Gratuito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Estratégia para atrair professores na fase inicial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Cadastro de professor na plataforma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Professor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 definir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Recursos como destaque na busca e relatórios de desempenho</w:t>
            </w:r>
          </w:p>
        </w:tc>
      </w:tr>
    </w:tbl>
    <w:p w:rsidR="00000000" w:rsidDel="00000000" w:rsidP="00000000" w:rsidRDefault="00000000" w:rsidRPr="00000000" w14:paraId="0000002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escolha por uma comissão entre 5% e 10% sobre os materiais reflete nossa situação atual: a plataforma ainda está construindo sua rede de usuários e, por isso, ainda não oferece o mesmo retorno que plataformas já consolidadas. Cobrar mais do que isso nesse momento tornaria a proposta pouco atraente para os professores, que são peça central para o funcionamento do projeto.</w:t>
      </w:r>
      <w:r w:rsidDel="00000000" w:rsidR="00000000" w:rsidRPr="00000000">
        <w:rPr>
          <w:rtl w:val="0"/>
        </w:rPr>
      </w:r>
    </w:p>
    <w:tbl>
      <w:tblPr>
        <w:tblStyle w:val="Table2"/>
        <w:tblW w:w="9025.511811023624" w:type="dxa"/>
        <w:jc w:val="left"/>
        <w:tblLayout w:type="fixed"/>
        <w:tblLook w:val="0600"/>
      </w:tblPr>
      <w:tblGrid>
        <w:gridCol w:w="3238.593813803657"/>
        <w:gridCol w:w="1111.0504324727874"/>
        <w:gridCol w:w="1579.1099763655789"/>
        <w:gridCol w:w="3096.7575883815994"/>
        <w:tblGridChange w:id="0">
          <w:tblGrid>
            <w:gridCol w:w="3238.593813803657"/>
            <w:gridCol w:w="1111.0504324727874"/>
            <w:gridCol w:w="1579.1099763655789"/>
            <w:gridCol w:w="3096.7575883815994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