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Resultados do Código_TCC_2 — Aprimoramento do modelo MQO</w:t>
      </w:r>
    </w:p>
    <w:p>
      <w:pPr>
        <w:spacing w:after="120"/>
      </w:pPr>
      <w:r>
        <w:rPr>
          <w:i/>
          <w:iCs/>
        </w:rPr>
        <w:t xml:space="preserve">A Política Monetária afeta o volume de Fusões e Aquisições no Brasil? Evidências dos Ciclos da Selic (2005–2024)</w:t>
      </w:r>
    </w:p>
    <w:p>
      <w:pPr>
        <w:spacing w:after="120"/>
      </w:pPr>
      <w:r>
        <w:t xml:space="preserve">Alexandre Menezes — Ibmec DF — Análise gerada em 26/09/2026, a partir da rodada do script Código_TCC_2.py sobre a base atual (2.292 deals, painel 2005-01 a 2024-12).</w:t>
      </w:r>
    </w:p>
    <w:p>
      <w:pPr>
        <w:pStyle w:val="Heading1"/>
        <w:spacing w:after="150" w:before="300"/>
      </w:pPr>
      <w:r>
        <w:t xml:space="preserve">1. O que mudou em relação ao Código_TCC.py (v1)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Variável dependente em log — log(M&amp;A_t) — replicando Grönroos (2024), que usa Ln(Number) em todas as regressões do estudo europeu.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Selic entra em VARIAÇÃO mensal (ΔSelic), não em nível. O teste ADF mostra que o nível da Selic não é estacionário (p = 0,078), enquanto a variação é estacionária (p &lt; 0,001) — regredir sobre um nível não estacionário é uma especificação frágil.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Busca de especificação: para as defasagens de 1 a 9 meses, testadas todas as combinações de até 2 controles adicionais (IPCA, variação do IBC-Br, IIE-Br, volatilidade do Ibovespa), ranqueadas por BIC.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 formal de sazonalidade mensal (F-teste conjunto de 11 dummies de mês).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Checagem alternativa com Poisson e Binomial Negativo — M&amp;A é uma variável de contagem, e essa é a família de modelos padrão da literatura para esse tipo de dado, complementar ao MQO em log.</w:t>
      </w:r>
    </w:p>
    <w:p>
      <w:pPr>
        <w:spacing w:after="120"/>
      </w:pPr>
      <w:r>
        <w:t xml:space="preserve">Os três modelos centrais do plano de trabalho (defasagens 1, 3 e 6 meses da Selic) foram mantidos — a mudança é a forma funcional (log) e a transformação da Selic (variação), não a estrutura pedida pelo orientador.</w:t>
      </w:r>
    </w:p>
    <w:p>
      <w:pPr>
        <w:pStyle w:val="Heading1"/>
        <w:spacing w:after="150" w:before="300"/>
      </w:pPr>
      <w:r>
        <w:t xml:space="preserve">2. Estacionariedade (ADF)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900"/>
        <w:gridCol w:w="2000"/>
      </w:tblGrid>
      <w:t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Estatística ADF</w:t>
            </w:r>
          </w:p>
        </w:tc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p-valor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Estacionária a 5%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N_MA (nível)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-3,874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0,002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</w:rPr>
              <w:t xml:space="preserve">log(N_MA)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-4,285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Selic (nível)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-2,678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0,078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</w:rPr>
              <w:t xml:space="preserve">ΔSelic (variação)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-4,635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Retorno do Ibovespa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-13,662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</w:rPr>
              <w:t xml:space="preserve">IBC-Br (nível)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-2,299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</w:rPr>
              <w:t xml:space="preserve">0,172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</w:rPr>
              <w:t xml:space="preserve">Não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ΔIBC-Br (variação 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-3,879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0,002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</w:rPr>
              <w:t xml:space="preserve">IIE-Br (nível)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-3,336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</w:rPr>
              <w:t xml:space="preserve">0,013</w:t>
            </w:r>
          </w:p>
        </w:tc>
        <w:tc>
          <w:tcPr>
            <w:tcW w:type="dxa" w:w="2000"/>
            <w:shd w:fill="f2f2f2" w:val="clear"/>
          </w:tcPr>
          <w:p>
            <w:r>
              <w:rPr>
                <w:b w:val="false"/>
                <w:bCs w:val="false"/>
              </w:rPr>
              <w:t xml:space="preserve">Sim</w:t>
            </w:r>
          </w:p>
        </w:tc>
      </w:tr>
    </w:tbl>
    <w:p>
      <w:pPr>
        <w:spacing w:after="120"/>
      </w:pPr>
      <w:r>
        <w:t xml:space="preserve">A Selic e o IBC-Br não são estacionários em nível — o mesmo problema identificado na v1 (e no desenho VAR anterior). Usar suas variações resolve o problema para os dois.</w:t>
      </w:r>
    </w:p>
    <w:p>
      <w:pPr>
        <w:pStyle w:val="Heading1"/>
        <w:spacing w:after="150" w:before="300"/>
      </w:pPr>
      <w:r>
        <w:t xml:space="preserve">3. Modelos principais em log (mesma estrutura do plano de trabalho)</w:t>
      </w:r>
    </w:p>
    <w:p>
      <w:pPr>
        <w:spacing w:after="120"/>
      </w:pPr>
      <w:r>
        <w:t xml:space="preserve">log(M&amp;A_t) = α + β1·log(M&amp;A_(t-1)) + β2·ΔSelic_(t-k) + β3·RetornoIbov_t + β4·Covid_t + ε_t, para k = 1, 3 e 6 meses. Erros-padrão HAC (Newey-West, 6 defasagens).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300"/>
      </w:tblGrid>
      <w:tr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k = 1 mês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k = 3 meses</w:t>
            </w:r>
          </w:p>
        </w:tc>
        <w:tc>
          <w:tcPr>
            <w:tcW w:type="dxa" w:w="2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k = 6 meses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Constante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1,3477*** 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1,2979*** 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1,3219*** 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</w:rPr>
              <w:t xml:space="preserve">log(M&amp;A_(t-1))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0,3688*** 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0,3915*** </w:t>
            </w:r>
          </w:p>
        </w:tc>
        <w:tc>
          <w:tcPr>
            <w:tcW w:type="dxa" w:w="2300"/>
            <w:shd w:fill="f2f2f2" w:val="clear"/>
          </w:tcPr>
          <w:p>
            <w:r>
              <w:rPr>
                <w:b w:val="false"/>
                <w:bCs w:val="false"/>
              </w:rPr>
              <w:t xml:space="preserve">0,3802*** 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ΔSelic_(t-k)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1,3980*** 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0,8771** 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0,1271 (n.s.)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</w:rPr>
              <w:t xml:space="preserve">Retorno Ibovespa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0,0018 (n.s.)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0,0009 (n.s.)</w:t>
            </w:r>
          </w:p>
        </w:tc>
        <w:tc>
          <w:tcPr>
            <w:tcW w:type="dxa" w:w="2300"/>
            <w:shd w:fill="f2f2f2" w:val="clear"/>
          </w:tcPr>
          <w:p>
            <w:r>
              <w:rPr>
                <w:b w:val="false"/>
                <w:bCs w:val="false"/>
              </w:rPr>
              <w:t xml:space="preserve">-0,0005 (n.s.)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Covid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0,2506 (n.s.)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0,2473 (n.s.)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0,2375 (n.s.)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</w:rPr>
              <w:t xml:space="preserve">R² ajustado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0,220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0,178</w:t>
            </w:r>
          </w:p>
        </w:tc>
        <w:tc>
          <w:tcPr>
            <w:tcW w:type="dxa" w:w="2300"/>
            <w:shd w:fill="f2f2f2" w:val="clear"/>
          </w:tcPr>
          <w:p>
            <w:r>
              <w:rPr>
                <w:b w:val="false"/>
                <w:bCs w:val="false"/>
              </w:rPr>
              <w:t xml:space="preserve">0,151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Breusch-Pagan (p)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0,768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0,850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0,724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</w:rPr>
              <w:t xml:space="preserve">Jarque-Bera (p)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0,021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0,010</w:t>
            </w:r>
          </w:p>
        </w:tc>
        <w:tc>
          <w:tcPr>
            <w:tcW w:type="dxa" w:w="2300"/>
            <w:shd w:fill="f2f2f2" w:val="clear"/>
          </w:tcPr>
          <w:p>
            <w:r>
              <w:rPr>
                <w:b w:val="false"/>
                <w:bCs w:val="false"/>
              </w:rPr>
              <w:t xml:space="preserve">0,017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Durbin-Watson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2,137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2,084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2,113</w:t>
            </w:r>
          </w:p>
        </w:tc>
      </w:tr>
      <w:tr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</w:rPr>
              <w:t xml:space="preserve">VIF máximo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1,039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</w:rPr>
              <w:t xml:space="preserve">1,039</w:t>
            </w:r>
          </w:p>
        </w:tc>
        <w:tc>
          <w:tcPr>
            <w:tcW w:type="dxa" w:w="2300"/>
            <w:shd w:fill="f2f2f2" w:val="clear"/>
          </w:tcPr>
          <w:p>
            <w:r>
              <w:rPr>
                <w:b w:val="false"/>
                <w:bCs w:val="false"/>
              </w:rPr>
              <w:t xml:space="preserve">1,045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234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234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234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*** p&lt;0,01  ** p&lt;0,05  * p&lt;0,10  (n.s. = não significativo)</w:t>
      </w:r>
    </w:p>
    <w:p>
      <w:pPr>
        <w:spacing w:after="120"/>
      </w:pPr>
      <w:r>
        <w:t xml:space="preserve">Leitura do coeficiente: um choque de +1 p.p. na Selic, ocorrido k meses antes, está associado a uma variação percentual de aproximadamente β2×100% no número de anúncios de M&amp;A no mês corrente (para k=1: +1 p.p. de Selic → cerca de +140% em M&amp;A no mês seguinte; o sinal é POSITIVO, e não negativo como na v1).</w:t>
      </w:r>
    </w:p>
    <w:p>
      <w:pPr>
        <w:pStyle w:val="Heading1"/>
        <w:spacing w:after="150" w:before="300"/>
      </w:pPr>
      <w:r>
        <w:t xml:space="preserve">4. O achado mais importante: o sinal da Selic muda de negativo (v1, nível) para positivo (v2, variação)</w:t>
      </w:r>
    </w:p>
    <w:p>
      <w:pPr>
        <w:spacing w:after="120"/>
      </w:pPr>
      <w:r>
        <w:t xml:space="preserve">Este é o ponto que precisa de mais atenção antes de qualquer versão final do TCC.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500"/>
        <w:gridCol w:w="1500"/>
        <w:gridCol w:w="15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Diagnóstico</w:t>
            </w:r>
          </w:p>
        </w:tc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Nível | Selic_lag1</w:t>
            </w:r>
          </w:p>
        </w:tc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Nível | Selic_lag3</w:t>
            </w:r>
          </w:p>
        </w:tc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Nível | Selic_lag6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Log | ΔSelic_lag1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Log | ΔSelic_lag3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Log | ΔSelic_lag6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R² ajustado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0,249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0,255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0,270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0,220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0,178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0,151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</w:rPr>
              <w:t xml:space="preserve">Breusch-Pagan (p)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b w:val="false"/>
                <w:bCs w:val="false"/>
              </w:rPr>
              <w:t xml:space="preserve">0,003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0,768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0,850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0,724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Jarque-Bera (p)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0,001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0,001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0,001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0,021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0,010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0,017</w:t>
            </w:r>
          </w:p>
        </w:tc>
      </w:tr>
    </w:tbl>
    <w:p>
      <w:pPr>
        <w:spacing w:after="120"/>
      </w:pPr>
      <w:r>
        <w:t xml:space="preserve">O modelo em log resolve a heterocedasticidade da v1 (Breusch-Pagan deixa de rejeitar homocedasticidade, de p&lt;0,001 para p&gt;0,7) e melhora — mas não resolve completamente — a normalidade dos resíduos (Jarque-Bera sai de p≈0,001 para p≈0,01-0,02, ainda abaixo de 5%, mas a amostra tem 234 observações, grande o suficiente para o Teorema Central do Limite atenuar esse problema, como o próprio Grönroos 2024 argumenta para os seus modelos 3 e 4).</w:t>
      </w:r>
    </w:p>
    <w:p>
      <w:pPr>
        <w:spacing w:after="120"/>
      </w:pPr>
      <w:r>
        <w:t xml:space="preserve">Só que o coeficiente da Selic troca de sinal: negativo no modelo em nível (choques de política reduzem o M&amp;A, como esperado pela hipótese do plano de trabalho) e positivo no modelo em log com ΔSelic (altas de Selic precederiam MAIS anúncios de M&amp;A, não menos). Isso pode significar duas coisas, e a decisão de qual delas é a correta depende de leitura econômica, não só estatística: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(a) Nível vs. variação capturam efeitos diferentes: o nível da Selic pode estar de fato absorvendo uma tendência de longo prazo (Selic estruturalmente mais baixa nos anos de mais M&amp;A, como 2010-2011 e 2019-2021), enquanto o choque de curto prazo (ΔSelic) pode ter uma relação diferente — inclusive compatível com a lógica de 'corrida para fechar negócios antes que o custo de capital suba mais', um mecanismo documentado em parte da literatura de M&amp;A waves.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(b) Viés de variável omitida/tendência: como a Selic caiu estruturalmente entre 2005 e 2020 e depois subiu forte em 2021-2022, o nível da Selic pode estar funcionando como proxy de uma tendência de crescimento do mercado de M&amp;A no Brasil ao longo do tempo, não de um efeito causal de política monetária — o que tornaria o resultado da v1 espúrio, não o da v2.</w:t>
      </w:r>
    </w:p>
    <w:p>
      <w:pPr>
        <w:spacing w:after="120"/>
      </w:pPr>
      <w:r>
        <w:t xml:space="preserve">Recomendação: reportar as duas versões no TCC (nível e variação) e discutir essa divergência de sinal explicitamente na seção de resultados — é um achado substantivo, não um erro a esconder. Vale também testar uma terceira forma (não incluída aqui): a Selic com uma tendência linear do tempo controlada explicitamente, para isolar o efeito de ciclo do efeito de tendência secular.</w:t>
      </w:r>
    </w:p>
    <w:p>
      <w:pPr>
        <w:pStyle w:val="Heading1"/>
        <w:spacing w:after="150" w:before="300"/>
      </w:pPr>
      <w:r>
        <w:t xml:space="preserve">5. Busca de especificação (defasagens 1-9 meses, controles adicionais)</w:t>
      </w:r>
    </w:p>
    <w:p>
      <w:pPr>
        <w:spacing w:after="120"/>
      </w:pPr>
      <w:r>
        <w:t xml:space="preserve">Ranking por BIC (menor = melhor) das 10 melhores especificações encontradas, entre 9 defasagens × 11 combinações de controles = 99 modelos testados: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500"/>
        <w:gridCol w:w="1200"/>
        <w:gridCol w:w="1300"/>
        <w:gridCol w:w="1300"/>
      </w:tblGrid>
      <w:t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Defasagem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Controles extras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Coef. ΔSelic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p-valor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R² ajust.</w:t>
            </w:r>
          </w:p>
        </w:tc>
        <w:tc>
          <w:tcPr>
            <w:tcW w:type="dxa" w:w="1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BIC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IPCA + Vol. Ibovespa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1,3311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0,240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313,86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</w:rPr>
              <w:t xml:space="preserve">IPCA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1,3207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0,229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312,69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Vol. Ibovespa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1,3728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0,229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312,78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</w:rPr>
              <w:t xml:space="preserve">(nenhum)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1,3663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0,215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312,57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IIE-Br + Vol. Ibovespa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1,3748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0,226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318,16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</w:rPr>
              <w:t xml:space="preserve">IPCA + IIE-Br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1,3257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0,227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317,85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IIE-Br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1,3718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0,213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317,57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</w:rPr>
              <w:t xml:space="preserve">ΔIBC-Br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1,3867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0,211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318,01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 meses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IPCA + ΔIBC-Br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0,6912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0,030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0,200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325,69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b w:val="false"/>
                <w:bCs w:val="false"/>
              </w:rPr>
              <w:t xml:space="preserve">3 meses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</w:rPr>
              <w:t xml:space="preserve">IPCA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0,7856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 w:val="false"/>
                <w:bCs w:val="false"/>
              </w:rPr>
              <w:t xml:space="preserve">0,014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0,188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</w:rPr>
              <w:t xml:space="preserve">324,58</w:t>
            </w:r>
          </w:p>
        </w:tc>
      </w:tr>
    </w:tbl>
    <w:p>
      <w:pPr>
        <w:spacing w:after="120"/>
      </w:pPr>
      <w:r>
        <w:t xml:space="preserve">A defasagem de 1 mês domina o ranking: sempre com o coeficiente de ΔSelic positivo, altamente significativo (p&lt;0,001) e estável entre 1,32 e 1,43, independentemente dos controles adicionais incluídos. A partir da defasagem de 4 meses, a significância cai bastante (ver arquivo busca_especificacao.csv, com as 99 linhas completas) — sugerindo que o efeito da variação da Selic sobre o M&amp;A é de curtíssimo prazo (1-3 meses), não persistente.</w:t>
      </w:r>
    </w:p>
    <w:p>
      <w:pPr>
        <w:spacing w:after="120"/>
      </w:pPr>
      <w:r>
        <w:t xml:space="preserve">Especificação recomendada como 'melhor resultado' desta busca: log(M&amp;A_t) com ΔSelic defasada em 1 mês + controles de IPCA e volatilidade do Ibovespa (maior R² ajustado do ranking, 0,240, com BIC próximo do mínimo).</w:t>
      </w:r>
    </w:p>
    <w:p>
      <w:pPr>
        <w:pStyle w:val="Heading1"/>
        <w:spacing w:after="150" w:before="300"/>
      </w:pPr>
      <w:r>
        <w:t xml:space="preserve">6. Sazonalidade</w:t>
      </w:r>
    </w:p>
    <w:p>
      <w:pPr>
        <w:spacing w:after="120"/>
      </w:pPr>
      <w:r>
        <w:t xml:space="preserve">F-teste conjunto das 11 dummies de mês no modelo principal (log, ΔSelic_lag3): F = 3,38, p = 0,0002 — estatisticamente significativo a 5%. Há sazonalidade mensal no número de anúncios de M&amp;A.</w:t>
      </w:r>
    </w:p>
    <w:p>
      <w:pPr>
        <w:spacing w:after="120"/>
      </w:pPr>
      <w:r>
        <w:t xml:space="preserve">Apesar disso, o BIC piora bastante ao incluir as 11 dummies (de 333,1 para 356,2) — o ganho de ajuste não compensa a perda de parcimônia em uma amostra de 234 observações. Recomendação: mencionar a sazonalidade como um achado à parte (por exemplo, em um gráfico ou tabela de médias por mês), mas não incluir as 11 dummies nos modelos principais do TCC.</w:t>
      </w:r>
    </w:p>
    <w:p>
      <w:pPr>
        <w:pStyle w:val="Heading1"/>
        <w:spacing w:after="150" w:before="300"/>
      </w:pPr>
      <w:r>
        <w:t xml:space="preserve">7. Checagem alternativa: Poisson e Binomial Negativo</w:t>
      </w:r>
    </w:p>
    <w:p>
      <w:pPr>
        <w:spacing w:after="120"/>
      </w:pPr>
      <w:r>
        <w:t xml:space="preserve">M&amp;A_t é uma contagem (valores inteiros, 2 a 31 por mês). A razão variância/média de N_MA é 2,44 — acima de 1, indicando sobredispersão, o que torna o Binomial Negativo mais adequado que o Poisson (o Poisson assume variância = média).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700"/>
        <w:gridCol w:w="2500"/>
        <w:gridCol w:w="1800"/>
      </w:tblGrid>
      <w:tr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Defasagem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Poisson: coef. ΔSelic</w:t>
            </w:r>
          </w:p>
        </w:tc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Poisson p-valor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Binom. Neg.: coef. ΔSelic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Binom. Neg. p-valor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1 mês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1,4091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1,3559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</w:rPr>
              <w:t xml:space="preserve">3 meses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</w:rPr>
              <w:t xml:space="preserve">0,8872</w:t>
            </w:r>
          </w:p>
        </w:tc>
        <w:tc>
          <w:tcPr>
            <w:tcW w:type="dxa" w:w="1700"/>
            <w:shd w:fill="f2f2f2" w:val="clear"/>
          </w:tcPr>
          <w:p>
            <w:r>
              <w:rPr>
                <w:b w:val="false"/>
                <w:bCs w:val="false"/>
              </w:rPr>
              <w:t xml:space="preserve">&lt; 0,001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</w:rPr>
              <w:t xml:space="preserve">0,8799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b w:val="false"/>
                <w:bCs w:val="false"/>
              </w:rPr>
              <w:t xml:space="preserve">0,004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6 meses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0,2666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0,226 (n.s.)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0,2444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0,417 (n.s.)</w:t>
            </w:r>
          </w:p>
        </w:tc>
      </w:tr>
    </w:tbl>
    <w:p>
      <w:pPr>
        <w:spacing w:after="120"/>
      </w:pPr>
      <w:r>
        <w:t xml:space="preserve">O Binomial Negativo confirma integralmente o padrão do MQO em log: coeficiente positivo e significativo da ΔSelic nas defasagens de 1 e 3 meses, não significativo em 6 meses. Isso reforça a robustez do resultado da v2 (sinal positivo, efeito de curto prazo) a uma família de modelo estatisticamente mais apropriada para dados de contagem.</w:t>
      </w:r>
    </w:p>
    <w:p>
      <w:pPr>
        <w:pStyle w:val="Heading1"/>
        <w:spacing w:after="150" w:before="300"/>
      </w:pPr>
      <w:r>
        <w:t xml:space="preserve">8. Recomendação final para o TCC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Adotar log(M&amp;A) como variável dependente — resolve a heterocedasticidade da v1 e é consistente com Grönroos (2024), a referência metodológica principal.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Reportar tanto a Selic em nível (v1, resultado negativo) quanto em variação (v2, resultado positivo) como duas leituras do mesmo fenômeno, discutindo explicitamente a divergência de sinal na seção de resultados — não escolher uma e silenciar a outra.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Manter as defasagens 1, 3 e 6 meses como modelo central (conforme o plano de trabalho), mas destacar que o efeito da ΔSelic é concentrado no curtíssimo prazo (1-3 meses) e desaparece a partir de 4-6 meses.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Incluir IPCA e volatilidade do Ibovespa como controles adicionais no modelo de 1 mês, que é o de melhor ajuste (R² ajustado 0,240) — reportar como especificação preferida, mantendo a versão sem controles extras como caso-base mais simples.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Reportar o Binomial Negativo como robustez complementar ao MQO — mesmo sinal e significância, com a vantagem de ser a família estatisticamente correta para uma variável de contagem com sobredispersão.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Mencionar a sazonalidade mensal como achado à parte, sem incorporar as dummies de mês aos modelos principais.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Próximo passo: investigar a divergência de sinal entre nível e variação da Selic com um modelo que inclua uma tendência de tempo explícita, para separar o efeito de ciclo econômico do efeito de tendência secular de queda/alta da Selic ao longo dos 20 anos da amostra.</w:t>
      </w:r>
    </w:p>
    <w:p>
      <w:pPr>
        <w:pStyle w:val="Heading1"/>
        <w:spacing w:after="150" w:before="300"/>
      </w:pPr>
      <w:r>
        <w:t xml:space="preserve">Arquivos gerados (pasta resultados_2/)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painel_mensal_v2.csv — painel completo com todas as variáveis e transformações.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raiz_unitaria_v2.csv — testes ADF completos.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modelos_log_principais.csv + resumo_log_dSelic_lag{1,3,6}.txt — os 3 modelos centrais em log, com e sem HAC.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diagnosticos_comparativos.csv — nível vs. log, lado a lado.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busca_especificacao.csv — as 99 especificações testadas, rankeadas por BIC.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teste_sazonalidade.csv, poisson_binomial_negativo.csv — robustez adicional.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log_vs_nivel.png, variacao_selic.png — gráficos.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2026-09-26T03:11:13.249Z</dcterms:created>
  <dcterms:modified xsi:type="dcterms:W3CDTF">2026-09-26T03:11:13.256Z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