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Modelo final do TCC: MQO mensal em log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Nível da Selic, Stringency Index, dummies de mês e defasagens 1, 3, 6, 9 e 12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Resposta curta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H1 é apoiada: o nível da Selic se associa negativamente ao número de M&amp;A, em todas as cinco defasagens testadas (1, 3, 6, 9 e 12 meses), com p &lt; 0,02 mesmo após a correção de Holm. O efeito cresce com a defasagem até 9 meses: −0,026 (k = 1), −0,033 (k = 3), −0,043 (k = 6) e −0,045 (k = 9); em k = 12 é −0,040. Em termos práticos, +1 ponto na Selic se associa a cerca de 4% menos operações por mês, seis meses depois.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 as alterações, o R² ajustado sobe de 0,23 para 0,32 e o modelo prevê melhor fora da amostra: o erro cai 11-12% em relação a um AR(1) simples.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variação da Selic (ΔMeta) fica como robustez: o efeito acumulado 0-3 continua positivo (+0,30; p = 0,003), mas os efeitos pontuais ficam no limite (p ≈ 0,05) e k = 6 é nulo. Resultado frágil, provavelmente endógeno.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Ponto de atenção novo: com as dummies de mês, o Jarque-Bera fica no limite (p ≈ 0,02-0,06) e o Breusch-Godfrey rejeita nas defasagens curtas (k = 1: p = 0,039). Isso não muda as conclusões (seção 5), mas justifica manter o erro-padrão HAC e destacar k = 6 e k = 9 como especificações centrais.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O que foi alterado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700"/>
        <w:gridCol w:w="3500"/>
      </w:tblGrid>
      <w:tr>
        <w:trPr>
          <w:cantSplit/>
          <w:tblHeader/>
        </w:trPr>
        <w:tc>
          <w:tcPr>
            <w:tcW w:type="dxa" w:w="31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Alteração</w:t>
            </w:r>
          </w:p>
        </w:tc>
        <w:tc>
          <w:tcPr>
            <w:tcW w:type="dxa" w:w="2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Antes</w:t>
            </w:r>
          </w:p>
        </w:tc>
        <w:tc>
          <w:tcPr>
            <w:tcW w:type="dxa" w:w="35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Agora</w:t>
            </w:r>
          </w:p>
        </w:tc>
      </w:tr>
      <w:tr>
        <w:trPr>
          <w:cantSplit/>
        </w:trPr>
        <w:tc>
          <w:tcPr>
            <w:tcW w:type="dxa" w:w="3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Covid</w:t>
            </w:r>
          </w:p>
        </w:tc>
        <w:tc>
          <w:tcPr>
            <w:tcW w:type="dxa" w:w="2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dummy mar-dez/2020</w:t>
            </w:r>
          </w:p>
        </w:tc>
        <w:tc>
          <w:tcPr>
            <w:tcW w:type="dxa" w:w="3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Stringency Index (OxCGRT, Brasil, mensal/100)</w:t>
            </w:r>
          </w:p>
        </w:tc>
      </w:tr>
      <w:tr>
        <w:trPr>
          <w:cantSplit/>
        </w:trPr>
        <w:tc>
          <w:tcPr>
            <w:tcW w:type="dxa" w:w="3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Sazonalidade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não controlada</w:t>
            </w:r>
          </w:p>
        </w:tc>
        <w:tc>
          <w:tcPr>
            <w:tcW w:type="dxa" w:w="3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 dummies de mês (jan = base)</w:t>
            </w:r>
          </w:p>
        </w:tc>
      </w:tr>
      <w:tr>
        <w:trPr>
          <w:cantSplit/>
        </w:trPr>
        <w:tc>
          <w:tcPr>
            <w:tcW w:type="dxa" w:w="3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Defasagens do nível da Selic</w:t>
            </w:r>
          </w:p>
        </w:tc>
        <w:tc>
          <w:tcPr>
            <w:tcW w:type="dxa" w:w="2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3</w:t>
            </w:r>
          </w:p>
        </w:tc>
        <w:tc>
          <w:tcPr>
            <w:tcW w:type="dxa" w:w="3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1, 3, 6, 9 e 12</w:t>
            </w:r>
          </w:p>
        </w:tc>
      </w:tr>
      <w:tr>
        <w:trPr>
          <w:cantSplit/>
        </w:trPr>
        <w:tc>
          <w:tcPr>
            <w:tcW w:type="dxa" w:w="3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Expectativa da Selic (Focus)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testada</w:t>
            </w:r>
          </w:p>
        </w:tc>
        <w:tc>
          <w:tcPr>
            <w:tcW w:type="dxa" w:w="3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retirada do modelo principal</w:t>
            </w:r>
          </w:p>
        </w:tc>
      </w:tr>
      <w:tr>
        <w:trPr>
          <w:cantSplit/>
        </w:trPr>
        <w:tc>
          <w:tcPr>
            <w:tcW w:type="dxa" w:w="3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Variáveis taxa</w:t>
            </w:r>
          </w:p>
        </w:tc>
        <w:tc>
          <w:tcPr>
            <w:tcW w:type="dxa" w:w="2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taxa em %</w:t>
            </w:r>
          </w:p>
        </w:tc>
        <w:tc>
          <w:tcPr>
            <w:tcW w:type="dxa" w:w="3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100·ln(1 + taxa/100); variações em Δln</w:t>
            </w:r>
          </w:p>
        </w:tc>
      </w:tr>
      <w:tr>
        <w:trPr>
          <w:cantSplit/>
        </w:trPr>
        <w:tc>
          <w:tcPr>
            <w:tcW w:type="dxa" w:w="3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Papel da variação da Selic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resultado principal</w:t>
            </w:r>
          </w:p>
        </w:tc>
        <w:tc>
          <w:tcPr>
            <w:tcW w:type="dxa" w:w="3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robustez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sz w:val="21"/>
          <w:szCs w:val="21"/>
        </w:rPr>
        <w:t xml:space="preserve">Equação principal, para cada k: ln(M&amp;A)_t = c + a·ln(M&amp;A)_{t-1} + g_k·Meta_log_{t-k} + b1·Ibov_Ret_t + b2·ΔIBC_log_t + b3·Stringency_t + Σ d_m·Mês_m + e_t, estimada por MQO com erros-padrão HAC (Newey-West, 6 defasagens). Amostra de jan/2006 a dez/2024 (n = 228).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Resultado principal: nível da Selic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100"/>
        <w:gridCol w:w="1900"/>
        <w:gridCol w:w="900"/>
        <w:gridCol w:w="1000"/>
        <w:gridCol w:w="800"/>
        <w:gridCol w:w="900"/>
      </w:tblGrid>
      <w:tr>
        <w:trPr>
          <w:cantSplit/>
          <w:tblHeader/>
        </w:trPr>
        <w:tc>
          <w:tcPr>
            <w:tcW w:type="dxa" w:w="15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Defasagem k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Coef. Meta_log</w:t>
            </w:r>
          </w:p>
        </w:tc>
        <w:tc>
          <w:tcPr>
            <w:tcW w:type="dxa" w:w="11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 (HAC)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IC 95%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 (Holm)</w:t>
            </w:r>
          </w:p>
        </w:tc>
        <w:tc>
          <w:tcPr>
            <w:tcW w:type="dxa" w:w="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R² aj.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BG(6) p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1 meses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-0,0256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0,0099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[-0,045 ; -0,006]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0,0103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0,0103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0,287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0,0392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3 meses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-0,0329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0,0098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[-0,052 ; -0,014]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0,0009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0,0019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0,298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0,0736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6 meses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-0,0427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0,0100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[-0,062 ; -0,023]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0,0001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0,319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0,2521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9 meses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-0,0450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0,0100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[-0,065 ; -0,025]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0,328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0,3253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= 12 meses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-0,0402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0,0097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[-0,059 ; -0,021]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0,0002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0,319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0,3525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60"/>
      </w:pPr>
      <w:r>
        <w:drawing>
          <wp:inline distT="0" distB="0" distL="0" distR="0">
            <wp:extent cx="4953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Figura 1 — Coeficiente do nível da Selic (log) por defasagem, com IC de 95%.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3.1 Modelo de referência (k = 6)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1700"/>
        <w:gridCol w:w="1600"/>
      </w:tblGrid>
      <w:tr>
        <w:trPr>
          <w:cantSplit/>
          <w:tblHeader/>
        </w:trPr>
        <w:tc>
          <w:tcPr>
            <w:tcW w:type="dxa" w:w="3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Variável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Coeficiente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 (HAC)</w:t>
            </w:r>
          </w:p>
        </w:tc>
        <w:tc>
          <w:tcPr>
            <w:tcW w:type="dxa" w:w="1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p-valor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Constante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1,7731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0,2810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ln(M&amp;A) em t-1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0,3013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0,0741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Meta Selic (log), t-6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-0,0427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0,0100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Retorno do Ibovespa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-0,0005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0,0045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0,9193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Δ IBC-Br (log)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0,0394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0,0128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0,0024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Stringency Index (Covid)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0,1468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0,1939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0,4498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Dummy de mês 2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-0,0479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0,1497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0,7494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Dummy de mês 3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-0,1105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0,1891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0,5594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Dummy de mês 4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0,3506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0,1390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0,0124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Dummy de mês 5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0,1091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0,1641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0,5069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Dummy de mês 6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0,0797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0,1589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0,6165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Dummy de mês 7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0,1331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0,1622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0,4129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Dummy de mês 8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0,1327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0,1639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0,4191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Dummy de mês 9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0,1896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0,1196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0,1143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Dummy de mês 10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-0,0013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0,1660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0,9936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Dummy de mês 11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0,2075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0,1521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0,1739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Dummy de mês 12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0,5624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0,1670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0,0009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ln(M&amp;A) defasado: +0,30 (p &lt; 0,001), ou seja, o volume de M&amp;A tem persistência moderada de um mês para o outro.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ΔIBC-Br: +0,039 (p = 0,002). Mais atividade econômica se associa a mais M&amp;A.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Ibovespa e Stringency: não significativos neste modelo (p = 0,92 e 0,45). O Stringency fica como controle, e seu coeficiente não deve ser interpretado.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Sazonalidade: dezembro é o pico (+0,56 em log, ≈ +75% contra janeiro; p &lt; 0,001) e abril também (+0,35; p = 0,012). Conjuntamente as dummies de mês são significativas (p = 0,0001).</w:t>
      </w:r>
    </w:p>
    <w:p>
      <w:pPr>
        <w:spacing w:after="160"/>
      </w:pPr>
      <w:r>
        <w:drawing>
          <wp:inline distT="0" distB="0" distL="0" distR="0">
            <wp:extent cx="5715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Figura 2 — Valores observados e ajustados (k = 6) e resíduos.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Robustez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900"/>
        <w:gridCol w:w="900"/>
        <w:gridCol w:w="600"/>
        <w:gridCol w:w="1000"/>
        <w:gridCol w:w="900"/>
      </w:tblGrid>
      <w:tr>
        <w:trPr>
          <w:cantSplit/>
          <w:tblHeader/>
        </w:trPr>
        <w:tc>
          <w:tcPr>
            <w:tcW w:type="dxa" w:w="3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Modelo de robustez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Coef.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BG(6) 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JB p</w:t>
            </w:r>
          </w:p>
        </w:tc>
      </w:tr>
      <w:tr>
        <w:trPr>
          <w:cantSplit/>
        </w:trPr>
        <w:tc>
          <w:tcPr>
            <w:tcW w:type="dxa" w:w="3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 ΔMeta_log pontual, k=1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0,1388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0,0704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0,0501</w:t>
            </w:r>
          </w:p>
        </w:tc>
        <w:tc>
          <w:tcPr>
            <w:tcW w:type="dxa" w:w="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228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0,0169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0,0451</w:t>
            </w:r>
          </w:p>
        </w:tc>
      </w:tr>
      <w:tr>
        <w:trPr>
          <w:cantSplit/>
        </w:trPr>
        <w:tc>
          <w:tcPr>
            <w:tcW w:type="dxa" w:w="3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 ΔMeta_log pontual, k=3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0,1213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0,0628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0,0548</w:t>
            </w:r>
          </w:p>
        </w:tc>
        <w:tc>
          <w:tcPr>
            <w:tcW w:type="dxa" w:w="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228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0,0147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0,0099</w:t>
            </w:r>
          </w:p>
        </w:tc>
      </w:tr>
      <w:tr>
        <w:trPr>
          <w:cantSplit/>
        </w:trPr>
        <w:tc>
          <w:tcPr>
            <w:tcW w:type="dxa" w:w="3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 ΔMeta_log pontual, k=6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-0,0385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0,0546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7"/>
                <w:szCs w:val="17"/>
              </w:rPr>
              <w:t xml:space="preserve">0,4817</w:t>
            </w:r>
          </w:p>
        </w:tc>
        <w:tc>
          <w:tcPr>
            <w:tcW w:type="dxa" w:w="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228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0,0238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0,0178</w:t>
            </w:r>
          </w:p>
        </w:tc>
      </w:tr>
      <w:tr>
        <w:trPr>
          <w:cantSplit/>
        </w:trPr>
        <w:tc>
          <w:tcPr>
            <w:tcW w:type="dxa" w:w="3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 ΔMeta_log acumulado 0-3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0,2968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0,0970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0,0025</w:t>
            </w:r>
          </w:p>
        </w:tc>
        <w:tc>
          <w:tcPr>
            <w:tcW w:type="dxa" w:w="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228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0,1259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0,0535</w:t>
            </w:r>
          </w:p>
        </w:tc>
      </w:tr>
      <w:tr>
        <w:trPr>
          <w:cantSplit/>
        </w:trPr>
        <w:tc>
          <w:tcPr>
            <w:tcW w:type="dxa" w:w="3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 ΔMeta_log acumulado 0-6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0,2672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0,1028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0,0100</w:t>
            </w:r>
          </w:p>
        </w:tc>
        <w:tc>
          <w:tcPr>
            <w:tcW w:type="dxa" w:w="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228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0,2845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0,0192</w:t>
            </w:r>
          </w:p>
        </w:tc>
      </w:tr>
      <w:tr>
        <w:trPr>
          <w:cantSplit/>
        </w:trPr>
        <w:tc>
          <w:tcPr>
            <w:tcW w:type="dxa" w:w="3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R2 nível k=6 + IPCA_log, dIIE_log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-0,0399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0,0103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0,0001</w:t>
            </w:r>
          </w:p>
        </w:tc>
        <w:tc>
          <w:tcPr>
            <w:tcW w:type="dxa" w:w="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228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0,3152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0,0452</w:t>
            </w:r>
          </w:p>
        </w:tc>
      </w:tr>
      <w:tr>
        <w:trPr>
          <w:cantSplit/>
        </w:trPr>
        <w:tc>
          <w:tcPr>
            <w:tcW w:type="dxa" w:w="3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R3 nível k=6, dummy Covid no lugar do Stringency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-0,0494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0,0103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228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0,2078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0,0706</w:t>
            </w:r>
          </w:p>
        </w:tc>
      </w:tr>
      <w:tr>
        <w:trPr>
          <w:cantSplit/>
        </w:trPr>
        <w:tc>
          <w:tcPr>
            <w:tcW w:type="dxa" w:w="3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R4 nível k=6, sem dummies de mês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-0,0447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0,0096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228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0,3833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0,1374</w:t>
            </w:r>
          </w:p>
        </w:tc>
      </w:tr>
      <w:tr>
        <w:trPr>
          <w:cantSplit/>
        </w:trPr>
        <w:tc>
          <w:tcPr>
            <w:tcW w:type="dxa" w:w="3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R5 nível k=6, 2015-2024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-0,0469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0,0149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0,0022</w:t>
            </w:r>
          </w:p>
        </w:tc>
        <w:tc>
          <w:tcPr>
            <w:tcW w:type="dxa" w:w="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0,3078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0,0154</w:t>
            </w:r>
          </w:p>
        </w:tc>
      </w:tr>
      <w:tr>
        <w:trPr>
          <w:cantSplit/>
        </w:trPr>
        <w:tc>
          <w:tcPr>
            <w:tcW w:type="dxa" w:w="3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R5 nível k=6, sem 2020-2022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-0,0401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0,0133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0,0029</w:t>
            </w:r>
          </w:p>
        </w:tc>
        <w:tc>
          <w:tcPr>
            <w:tcW w:type="dxa" w:w="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192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0,2928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0,0671</w:t>
            </w:r>
          </w:p>
        </w:tc>
      </w:tr>
      <w:tr>
        <w:trPr>
          <w:cantSplit/>
        </w:trPr>
        <w:tc>
          <w:tcPr>
            <w:tcW w:type="dxa" w:w="3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R5 nível k=6, até 2019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-0,0372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0,0127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0,0040</w:t>
            </w:r>
          </w:p>
        </w:tc>
        <w:tc>
          <w:tcPr>
            <w:tcW w:type="dxa" w:w="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168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0,2761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0,1223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sz w:val="21"/>
          <w:szCs w:val="21"/>
        </w:rPr>
        <w:t xml:space="preserve">O nível da Selic (k = 6) mantém sinal e significância em todos os cortes: sem dummies de mês (−0,045), com dummy Covid (−0,049), com IPCA e IIE-Br (−0,040), de 2015 a 2024 (−0,047), sem 2020-2022 (−0,040) e até 2019 (−0,037). Ou seja, o resultado não depende do período da pandemia nem do controle usado para ela. A variação da Selic é menos estável: acumulada 0-3 e 0-6 é significativa, mas os efeitos pontuais k = 1 e k = 3 ficam em p ≈ 0,05 e k = 6 é nulo.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4.1 Estimadores alternativos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1000"/>
        <w:gridCol w:w="900"/>
        <w:gridCol w:w="1900"/>
      </w:tblGrid>
      <w:tr>
        <w:trPr>
          <w:cantSplit/>
          <w:tblHeader/>
        </w:trPr>
        <w:tc>
          <w:tcPr>
            <w:tcW w:type="dxa" w:w="3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Método (k = 6)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Coef.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IC 95%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MQO + HAC (padrão)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-0,0427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0,0100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[-0,062 ; -0,023]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MQO + HC3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-0,0427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0,0097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[-0,062 ; -0,024]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Poisson (QML) + HAC, usa a contagem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-0,0385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0,0098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[-0,058 ; -0,019]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Regressão robusta (Huber)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-0,0415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0,0108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0,0001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[-0,063 ; -0,020]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Regressão mediana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-0,0379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0,0129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0,0037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[-0,063 ; -0,012]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sz w:val="21"/>
          <w:szCs w:val="21"/>
        </w:rPr>
        <w:t xml:space="preserve">O coeficiente do nível (k = 6) fica entre −0,038 e −0,043 em todos os métodos (HAC, HC3, Poisson por quase-verossimilhança com a contagem, Huber e regressão mediana), todos com p &lt; 0,01. A conclusão não depende de normalidade nem da forma da variância.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5. Diagnóstico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Autocorrelação: o Breusch-Godfrey (6) não rejeita em k = 6, 9 e 12 (p = 0,25, 0,33 e 0,35). Em k = 1 e k = 3 fica no limite (p = 0,039 e 0,074). O HAC cobre isso.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Normalidade: Jarque-Bera de p ≈ 0,02-0,06 com as dummies de mês, contra p = 0,13 no modelo sem elas. É um desvio leve, e os estimadores robustos (Huber, mediana, Poisson) dão o mesmo resultado.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Heterocedasticidade: Breusch-Pagan com p ≈ 0,02-0,04, também coberta pelo HAC e pelo HC3.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Forma funcional: RESET não rejeita (p ≥ 0,10 em todas as defasagens).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Exogeneidade: continua sendo a limitação principal. A Selic reage à economia, o teste de avanço do cenário anterior rejeitou exogeneidade estrita, e o resultado deve ser descrito como associação, não como causalidade.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6. Previsão fora da amostra</w:t>
      </w:r>
    </w:p>
    <w:p>
      <w:pPr>
        <w:spacing w:after="140"/>
      </w:pPr>
      <w:r>
        <w:rPr>
          <w:sz w:val="21"/>
          <w:szCs w:val="21"/>
        </w:rPr>
        <w:t xml:space="preserve">Janela expansiva, previsão de um passo à frente, 120 meses avaliados (a partir de 2015). Os controles de Covid ficam de fora desta etapa porque o Stringency é zero antes de 2020.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300"/>
        <w:gridCol w:w="1300"/>
        <w:gridCol w:w="1700"/>
      </w:tblGrid>
      <w:tr>
        <w:trPr>
          <w:cantSplit/>
          <w:tblHeader/>
        </w:trPr>
        <w:tc>
          <w:tcPr>
            <w:tcW w:type="dxa" w:w="4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Modelo (previsão 1 passo à frente)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RMSE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MAE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RMSE vs AR(1)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AR(1)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0,498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0,414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AR(1) + controles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0,490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0,405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-1,6%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 dummies de mês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0,477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0,382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-4,1%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 Meta k=6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0,453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0,367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-9,0%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 Meta k=9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0,447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0,361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-10,2%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 dummies de mês + Meta k=6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0,442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0,347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-11,3%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 dummies de mês + Meta k=9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0,436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0,344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-12,5%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sz w:val="21"/>
          <w:szCs w:val="21"/>
        </w:rPr>
        <w:t xml:space="preserve">A Selic em nível melhora a previsão em cerca de 9-10% sozinha e 11-12% junto com as dummies de mês. É um argumento independente de significância estatística de que o juro carrega informação sobre o ritmo de M&amp;A.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7. Limitações e próximos passos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Esta rodada usou o IBC-Br sem ajuste sazonal (série 24363), sem câmbio e a Meta do cache, porque o ambiente não alcança a API do Banco Central. Rode `Código_TCC_MQO_FINAL.py` na sua máquina para os números finais; as conclusões qualitativas devem se manter.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Stringency Index da Oxford termina em dez/2022; em 2023-24 repeti o último valor (22,2). Zerar esses meses dá resultados praticamente iguais.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R² de 0,32: grande parte da variação mensal de M&amp;A não é explicada, o que é comum em dados mensais de contagem.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Extensões possíveis: Selic-surpresa neste modelo, valor das operações no lugar da contagem, M&amp;A doméstico versus cross-border e um modelo de correção de erros (ECM/ARDL).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18a4ffa14afe410b71c2292603e655f8448b0a.png"/><Relationship Id="rId8" Type="http://schemas.openxmlformats.org/officeDocument/2006/relationships/image" Target="media/d04433b5f88bf4d1d446fb91507c8a5e2babf0b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2026-10-07T23:05:41.313Z</dcterms:created>
  <dcterms:modified xsi:type="dcterms:W3CDTF">2026-10-07T23:05:41.314Z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