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12D0" w14:textId="112A33B4" w:rsidR="003773BC" w:rsidRDefault="00B6611C" w:rsidP="00B44354">
      <w:pPr>
        <w:jc w:val="center"/>
      </w:pPr>
      <w:r>
        <w:rPr>
          <w:noProof/>
        </w:rPr>
        <w:drawing>
          <wp:inline distT="0" distB="0" distL="0" distR="0" wp14:anchorId="1BBEDCC5" wp14:editId="25D9FFE6">
            <wp:extent cx="4572000" cy="1072059"/>
            <wp:effectExtent l="0" t="0" r="0" b="0"/>
            <wp:docPr id="1702395301" name="Picture 1" descr="Ibmec | Protagonistas para o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ec | Protagonistas para o mun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353" cy="107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857B" w14:textId="3B664A4B" w:rsidR="00B6611C" w:rsidRPr="00C255AA" w:rsidRDefault="00BB1DDA" w:rsidP="00BB1DDA">
      <w:pPr>
        <w:jc w:val="center"/>
        <w:rPr>
          <w:rFonts w:ascii="Times New Roman" w:hAnsi="Times New Roman" w:cs="Times New Roman"/>
          <w:b/>
          <w:bCs/>
          <w:lang w:val="pt-BR"/>
        </w:rPr>
      </w:pPr>
      <w:r w:rsidRPr="00C255AA">
        <w:rPr>
          <w:rFonts w:ascii="Times New Roman" w:hAnsi="Times New Roman" w:cs="Times New Roman"/>
          <w:b/>
          <w:bCs/>
          <w:lang w:val="pt-BR"/>
        </w:rPr>
        <w:t>INSTITUTO BRASILEIRO DE MERCADO DE CAPITAIS</w:t>
      </w:r>
    </w:p>
    <w:p w14:paraId="5A7E086A" w14:textId="5CF10061" w:rsidR="00BB1DDA" w:rsidRPr="00C255AA" w:rsidRDefault="00C255AA" w:rsidP="00B44354">
      <w:pPr>
        <w:jc w:val="center"/>
        <w:rPr>
          <w:rFonts w:ascii="Times New Roman" w:hAnsi="Times New Roman" w:cs="Times New Roman"/>
          <w:lang w:val="pt-BR"/>
        </w:rPr>
      </w:pPr>
      <w:r w:rsidRPr="00C255AA">
        <w:rPr>
          <w:rFonts w:ascii="Times New Roman" w:hAnsi="Times New Roman" w:cs="Times New Roman"/>
          <w:lang w:val="pt-BR"/>
        </w:rPr>
        <w:t>Curso de Ciências Econômicas</w:t>
      </w:r>
    </w:p>
    <w:p w14:paraId="7A17EA7F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6F472A62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4A593428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475418F2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52589336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3BC862AA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b/>
          <w:bCs/>
          <w:lang w:val="pt-BR"/>
        </w:rPr>
      </w:pPr>
      <w:r w:rsidRPr="00C255AA">
        <w:rPr>
          <w:rFonts w:ascii="Times New Roman" w:hAnsi="Times New Roman" w:cs="Times New Roman"/>
          <w:b/>
          <w:bCs/>
          <w:lang w:val="pt-BR"/>
        </w:rPr>
        <w:t>ALEXANDRE DE SOUSA CAMPOS MENEZES</w:t>
      </w:r>
    </w:p>
    <w:p w14:paraId="29C61362" w14:textId="77777777" w:rsidR="00B44354" w:rsidRDefault="00B44354" w:rsidP="00B44354">
      <w:pPr>
        <w:jc w:val="center"/>
        <w:rPr>
          <w:rFonts w:ascii="Times New Roman" w:hAnsi="Times New Roman" w:cs="Times New Roman"/>
          <w:b/>
          <w:bCs/>
          <w:lang w:val="pt-BR"/>
        </w:rPr>
      </w:pPr>
    </w:p>
    <w:p w14:paraId="4ABFE70F" w14:textId="77777777" w:rsidR="00C255AA" w:rsidRPr="00C255AA" w:rsidRDefault="00C255AA" w:rsidP="00B44354">
      <w:pPr>
        <w:jc w:val="center"/>
        <w:rPr>
          <w:rFonts w:ascii="Times New Roman" w:hAnsi="Times New Roman" w:cs="Times New Roman"/>
          <w:lang w:val="pt-BR"/>
        </w:rPr>
      </w:pPr>
    </w:p>
    <w:p w14:paraId="11AEB65D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134F98AF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14DAAC9A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63E5564B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64A357FE" w14:textId="454F1358" w:rsidR="00DF060F" w:rsidRDefault="002776AB" w:rsidP="00DF060F">
      <w:pPr>
        <w:jc w:val="center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 xml:space="preserve">A </w:t>
      </w:r>
      <w:r w:rsidR="00E67A77">
        <w:rPr>
          <w:rFonts w:ascii="Times New Roman" w:hAnsi="Times New Roman" w:cs="Times New Roman"/>
          <w:b/>
          <w:bCs/>
          <w:lang w:val="pt-BR"/>
        </w:rPr>
        <w:t>POL</w:t>
      </w:r>
      <w:r w:rsidR="00736D18">
        <w:rPr>
          <w:rFonts w:ascii="Times New Roman" w:hAnsi="Times New Roman" w:cs="Times New Roman"/>
          <w:b/>
          <w:bCs/>
          <w:lang w:val="pt-BR"/>
        </w:rPr>
        <w:t>ÍTICA MONETÁRIA</w:t>
      </w:r>
      <w:r>
        <w:rPr>
          <w:rFonts w:ascii="Times New Roman" w:hAnsi="Times New Roman" w:cs="Times New Roman"/>
          <w:b/>
          <w:bCs/>
          <w:lang w:val="pt-BR"/>
        </w:rPr>
        <w:t xml:space="preserve"> AFETA O VOLUME DE FUSÇÕES E AQUISIÇÕES NO BRASIL</w:t>
      </w:r>
      <w:r w:rsidR="00DF060F">
        <w:rPr>
          <w:rFonts w:ascii="Times New Roman" w:hAnsi="Times New Roman" w:cs="Times New Roman"/>
          <w:b/>
          <w:bCs/>
          <w:lang w:val="pt-BR"/>
        </w:rPr>
        <w:t>? EVIDÊNCIAS DOS CICLOS DA SELIC (2005 – 2024)</w:t>
      </w:r>
    </w:p>
    <w:p w14:paraId="5AB36135" w14:textId="647DA0CE" w:rsidR="004E51BF" w:rsidRPr="00E5326B" w:rsidRDefault="004E51BF" w:rsidP="00B44354">
      <w:pPr>
        <w:jc w:val="center"/>
        <w:rPr>
          <w:rFonts w:ascii="Times New Roman" w:hAnsi="Times New Roman" w:cs="Times New Roman"/>
          <w:i/>
          <w:iCs/>
          <w:lang w:val="pt-BR"/>
        </w:rPr>
      </w:pPr>
      <w:r w:rsidRPr="00E5326B">
        <w:rPr>
          <w:rFonts w:ascii="Times New Roman" w:hAnsi="Times New Roman" w:cs="Times New Roman"/>
          <w:i/>
          <w:iCs/>
          <w:lang w:val="pt-BR"/>
        </w:rPr>
        <w:t>Uma Análise dos Ciclos da Selic e Seus Efeitos sobre</w:t>
      </w:r>
      <w:r w:rsidR="00DC3346">
        <w:rPr>
          <w:rFonts w:ascii="Times New Roman" w:hAnsi="Times New Roman" w:cs="Times New Roman"/>
          <w:i/>
          <w:iCs/>
          <w:lang w:val="pt-BR"/>
        </w:rPr>
        <w:t xml:space="preserve"> as Transações de M&amp;A</w:t>
      </w:r>
    </w:p>
    <w:p w14:paraId="3EAC5ECB" w14:textId="77777777" w:rsidR="00B44354" w:rsidRPr="00C255AA" w:rsidRDefault="00B44354" w:rsidP="00B44354">
      <w:pPr>
        <w:jc w:val="center"/>
        <w:rPr>
          <w:rFonts w:ascii="Times New Roman" w:hAnsi="Times New Roman" w:cs="Times New Roman"/>
          <w:lang w:val="pt-BR"/>
        </w:rPr>
      </w:pPr>
    </w:p>
    <w:p w14:paraId="00B81571" w14:textId="77777777" w:rsidR="00B44354" w:rsidRPr="00C255AA" w:rsidRDefault="00B44354" w:rsidP="00B44354">
      <w:pPr>
        <w:jc w:val="center"/>
        <w:rPr>
          <w:rFonts w:ascii="Times New Roman" w:hAnsi="Times New Roman" w:cs="Times New Roman"/>
          <w:lang w:val="pt-BR"/>
        </w:rPr>
      </w:pPr>
    </w:p>
    <w:p w14:paraId="71465B9A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6B660EB2" w14:textId="77777777" w:rsidR="00BB1DDA" w:rsidRPr="00C255AA" w:rsidRDefault="00BB1DDA" w:rsidP="00B44354">
      <w:pPr>
        <w:jc w:val="center"/>
        <w:rPr>
          <w:rFonts w:ascii="Times New Roman" w:hAnsi="Times New Roman" w:cs="Times New Roman"/>
          <w:lang w:val="pt-BR"/>
        </w:rPr>
      </w:pPr>
    </w:p>
    <w:p w14:paraId="7DA9E755" w14:textId="77777777" w:rsidR="00B44354" w:rsidRPr="00C255AA" w:rsidRDefault="00B44354" w:rsidP="00B44354">
      <w:pPr>
        <w:jc w:val="center"/>
        <w:rPr>
          <w:rFonts w:ascii="Times New Roman" w:hAnsi="Times New Roman" w:cs="Times New Roman"/>
          <w:lang w:val="pt-BR"/>
        </w:rPr>
      </w:pPr>
    </w:p>
    <w:p w14:paraId="5693A186" w14:textId="77777777" w:rsidR="00C255AA" w:rsidRDefault="00C255AA" w:rsidP="00E5326B">
      <w:pPr>
        <w:rPr>
          <w:rFonts w:ascii="Times New Roman" w:hAnsi="Times New Roman" w:cs="Times New Roman"/>
          <w:b/>
          <w:bCs/>
          <w:lang w:val="pt-BR"/>
        </w:rPr>
      </w:pPr>
    </w:p>
    <w:p w14:paraId="09D3F715" w14:textId="77777777" w:rsidR="00C255AA" w:rsidRPr="00C255AA" w:rsidRDefault="00C255AA" w:rsidP="00B44354">
      <w:pPr>
        <w:jc w:val="center"/>
        <w:rPr>
          <w:rFonts w:ascii="Times New Roman" w:hAnsi="Times New Roman" w:cs="Times New Roman"/>
          <w:lang w:val="pt-BR"/>
        </w:rPr>
      </w:pPr>
      <w:r w:rsidRPr="00C255AA">
        <w:rPr>
          <w:rFonts w:ascii="Times New Roman" w:hAnsi="Times New Roman" w:cs="Times New Roman"/>
          <w:lang w:val="pt-BR"/>
        </w:rPr>
        <w:t>Brasília/DF</w:t>
      </w:r>
    </w:p>
    <w:p w14:paraId="44952A58" w14:textId="6DF2484A" w:rsidR="00C255AA" w:rsidRDefault="00B44354" w:rsidP="00C255AA">
      <w:pPr>
        <w:jc w:val="center"/>
        <w:rPr>
          <w:rFonts w:ascii="Times New Roman" w:hAnsi="Times New Roman" w:cs="Times New Roman"/>
          <w:lang w:val="pt-BR"/>
        </w:rPr>
      </w:pPr>
      <w:r w:rsidRPr="00C255AA">
        <w:rPr>
          <w:rFonts w:ascii="Times New Roman" w:hAnsi="Times New Roman" w:cs="Times New Roman"/>
          <w:lang w:val="pt-BR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587851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264622" w14:textId="51B4A12E" w:rsidR="001D7793" w:rsidRDefault="001D7793">
          <w:pPr>
            <w:pStyle w:val="TOCHeading"/>
          </w:pPr>
          <w:r>
            <w:t>Contents</w:t>
          </w:r>
        </w:p>
        <w:p w14:paraId="02B97055" w14:textId="1B2DD1A5" w:rsidR="001D7793" w:rsidRPr="001D7793" w:rsidRDefault="001D7793">
          <w:pPr>
            <w:pStyle w:val="TOC1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27114" w:history="1">
            <w:r w:rsidRPr="001D7793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  <w:lang w:val="pt-BR"/>
              </w:rPr>
              <w:t>1</w:t>
            </w:r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. Delimitação do Tema e Motivação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_Toc228727114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3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1724ED" w14:textId="2262876E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15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1.1 Contextualização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_Toc228727115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3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F06CD8" w14:textId="40A181E2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16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1.2 Motivação e Relevância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_Toc228727116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3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8C75A9" w14:textId="26054037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17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1.3 Recorte Temporal e Escopo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_Toc228727117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4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8A8A0B" w14:textId="09017A1E" w:rsidR="001D7793" w:rsidRPr="001D7793" w:rsidRDefault="001D7793">
          <w:pPr>
            <w:pStyle w:val="TOC1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18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2. Base de Dados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_Toc228727118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4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DEA3EE" w14:textId="2DCD3F5E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19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2.1 Fonte Principal: FactSet (IBMEC DF)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_Toc228727119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4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43DCCA" w14:textId="6E730FDE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0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2.2 Fontes Complementares – Variáveis Macroeconômicas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_Toc228727120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5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7A30D7" w14:textId="35279063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1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2.3 Limitações da Base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_Toc228727121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5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B05A87" w14:textId="71A8729A" w:rsidR="001D7793" w:rsidRPr="001D7793" w:rsidRDefault="001D7793">
          <w:pPr>
            <w:pStyle w:val="TOC1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2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3. Problema de Pesquisa e Hipóteses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_Toc228727122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6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8DF69D" w14:textId="752D5C0A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3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3.1 Problema de Pesquisa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_Toc228727123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6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3AAB66" w14:textId="37C5E336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4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3.2 Hipóteses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_Toc228727124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6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CE0AAB" w14:textId="4CD2498C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5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3.2.1 Hipótese 1: Efeito da Política Monetária sobre o Volume de M&amp;A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_Toc228727125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6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7C3F2E" w14:textId="048DD255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6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3.2.2 Hipótese 2: Efeito da Incerteza Econômica como Canal Independente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_Toc228727126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6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908FA5" w14:textId="2E95AFA8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7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3.2.3 Hipótese 3: Assimetria entre Ciclos de Alta e de Baixa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_Toc228727127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7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E36ECF" w14:textId="40295963" w:rsidR="001D7793" w:rsidRPr="001D7793" w:rsidRDefault="001D7793">
          <w:pPr>
            <w:pStyle w:val="TOC1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8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 Estratégia Empírica e Metodologia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_Toc228727128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7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1EA1B7" w14:textId="5E2F46B4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29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4.1 Visão Geral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_Toc228727129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7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2EAAE5" w14:textId="7A59F02C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0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4.2 Especificações do Modelo VAR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_Toc228727130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7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5EDCA0" w14:textId="61AC3E74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1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4.2.1 Vetor de Variáveis Endógenas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_Toc228727131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7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42A567" w14:textId="12117C65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2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4.2.2 Forma Reduzida do VAR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_Toc228727132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8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D0363F" w14:textId="357917EB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3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4.3 Etapas de Modelagem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_Toc228727133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8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BDFE91" w14:textId="28CBC90B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4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4.3.1 Inspeção Gráfica e Tratamento das Séries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_Toc228727134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8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DBE394" w14:textId="03897E48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5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4.3.2 Testes de Raiz Unitária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_Toc228727135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8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B69BFA" w14:textId="3859B4ED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6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4.3.3 Teste de Causalidade de Granger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_Toc228727136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8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8A9F49" w14:textId="6F6CB424" w:rsidR="001D7793" w:rsidRPr="001D7793" w:rsidRDefault="001D7793">
          <w:pPr>
            <w:pStyle w:val="TOC3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7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4.3.4 Seleção da Ordem de Defasagem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_Toc228727137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9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0D88B6" w14:textId="30D17138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8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4.4 Função de Impulso-Resposta (IRF)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_Toc228727138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9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429C1D" w14:textId="59886228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39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4.5 Análise de Subperíodos e Heterogeneidade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_Toc228727139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9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6BD0E3" w14:textId="56D73F2B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0" w:history="1">
            <w:r w:rsidRPr="001D7793">
              <w:rPr>
                <w:rStyle w:val="Hyperlink"/>
                <w:rFonts w:eastAsia="Arial"/>
                <w:noProof/>
                <w:sz w:val="20"/>
                <w:szCs w:val="20"/>
              </w:rPr>
              <w:t>4.6 Sumário das Variáveis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_Toc228727140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9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3971D3" w14:textId="668FC481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1" w:history="1">
            <w:r w:rsidRPr="001D7793">
              <w:rPr>
                <w:rStyle w:val="Hyperlink"/>
                <w:rFonts w:eastAsia="Arial"/>
                <w:noProof/>
                <w:sz w:val="20"/>
                <w:szCs w:val="20"/>
              </w:rPr>
              <w:t>4.7 Testes de Robustez Adicionais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_Toc228727141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10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D091EE" w14:textId="26A57E02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2" w:history="1">
            <w:r w:rsidRPr="001D7793">
              <w:rPr>
                <w:rStyle w:val="Hyperlink"/>
                <w:noProof/>
                <w:sz w:val="20"/>
                <w:szCs w:val="20"/>
              </w:rPr>
              <w:t>4.8 Cronograma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_Toc228727142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10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7B2F0E" w14:textId="67E86659" w:rsidR="001D7793" w:rsidRPr="001D7793" w:rsidRDefault="001D7793">
          <w:pPr>
            <w:pStyle w:val="TOC1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3" w:history="1">
            <w:r w:rsidRPr="001D7793">
              <w:rPr>
                <w:rStyle w:val="Hyperlink"/>
                <w:noProof/>
                <w:sz w:val="20"/>
                <w:szCs w:val="20"/>
                <w:lang w:val="pt-BR"/>
              </w:rPr>
              <w:t>5. Contribuição Esperada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_Toc228727143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11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C8EC87" w14:textId="1EB87365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4" w:history="1">
            <w:r w:rsidRPr="001D7793">
              <w:rPr>
                <w:rStyle w:val="Hyperlink"/>
                <w:noProof/>
                <w:sz w:val="20"/>
                <w:szCs w:val="20"/>
              </w:rPr>
              <w:t>5.1 Contribuição Acadêmica: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_Toc228727144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11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26B29D" w14:textId="2E45D0F3" w:rsidR="001D7793" w:rsidRPr="001D7793" w:rsidRDefault="001D7793">
          <w:pPr>
            <w:pStyle w:val="TOC2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5" w:history="1">
            <w:r w:rsidRPr="001D7793">
              <w:rPr>
                <w:rStyle w:val="Hyperlink"/>
                <w:noProof/>
                <w:sz w:val="20"/>
                <w:szCs w:val="20"/>
              </w:rPr>
              <w:t>5.2 Contribuição Aplicada: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_Toc228727145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11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9EF406" w14:textId="5A9A9E24" w:rsidR="001D7793" w:rsidRPr="001D7793" w:rsidRDefault="001D7793">
          <w:pPr>
            <w:pStyle w:val="TOC1"/>
            <w:tabs>
              <w:tab w:val="right" w:leader="dot" w:pos="9061"/>
            </w:tabs>
            <w:rPr>
              <w:noProof/>
              <w:sz w:val="20"/>
              <w:szCs w:val="20"/>
            </w:rPr>
          </w:pPr>
          <w:hyperlink w:anchor="_Toc228727146" w:history="1">
            <w:r w:rsidRPr="001D7793">
              <w:rPr>
                <w:rStyle w:val="Hyperlink"/>
                <w:rFonts w:eastAsia="Arial"/>
                <w:noProof/>
                <w:sz w:val="20"/>
                <w:szCs w:val="20"/>
              </w:rPr>
              <w:t>6. Referências</w:t>
            </w:r>
            <w:r w:rsidRPr="001D7793">
              <w:rPr>
                <w:noProof/>
                <w:webHidden/>
                <w:sz w:val="20"/>
                <w:szCs w:val="20"/>
              </w:rPr>
              <w:tab/>
            </w:r>
            <w:r w:rsidRPr="001D7793">
              <w:rPr>
                <w:noProof/>
                <w:webHidden/>
                <w:sz w:val="20"/>
                <w:szCs w:val="20"/>
              </w:rPr>
              <w:fldChar w:fldCharType="begin"/>
            </w:r>
            <w:r w:rsidRPr="001D7793">
              <w:rPr>
                <w:noProof/>
                <w:webHidden/>
                <w:sz w:val="20"/>
                <w:szCs w:val="20"/>
              </w:rPr>
              <w:instrText xml:space="preserve"> PAGEREF _Toc228727146 \h </w:instrText>
            </w:r>
            <w:r w:rsidRPr="001D7793">
              <w:rPr>
                <w:noProof/>
                <w:webHidden/>
                <w:sz w:val="20"/>
                <w:szCs w:val="20"/>
              </w:rPr>
            </w:r>
            <w:r w:rsidRPr="001D779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D7793">
              <w:rPr>
                <w:noProof/>
                <w:webHidden/>
                <w:sz w:val="20"/>
                <w:szCs w:val="20"/>
              </w:rPr>
              <w:t>12</w:t>
            </w:r>
            <w:r w:rsidRPr="001D779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6FFD4D" w14:textId="0D28EACF" w:rsidR="001D7793" w:rsidRPr="001D7793" w:rsidRDefault="001D7793" w:rsidP="001D7793">
          <w:r>
            <w:rPr>
              <w:b/>
              <w:bCs/>
              <w:noProof/>
            </w:rPr>
            <w:fldChar w:fldCharType="end"/>
          </w:r>
        </w:p>
      </w:sdtContent>
    </w:sdt>
    <w:p w14:paraId="20B4E779" w14:textId="7DD7E612" w:rsidR="00D06A66" w:rsidRDefault="00D06A66" w:rsidP="00D06A66">
      <w:pPr>
        <w:pStyle w:val="Heading1"/>
        <w:rPr>
          <w:rStyle w:val="Heading1Char"/>
          <w:sz w:val="28"/>
          <w:szCs w:val="28"/>
          <w:lang w:val="pt-BR"/>
        </w:rPr>
      </w:pPr>
      <w:bookmarkStart w:id="0" w:name="_Toc228727114"/>
      <w:r w:rsidRPr="009467A2">
        <w:rPr>
          <w:rFonts w:ascii="Times New Roman" w:hAnsi="Times New Roman" w:cs="Times New Roman"/>
          <w:sz w:val="28"/>
          <w:szCs w:val="28"/>
          <w:lang w:val="pt-BR"/>
        </w:rPr>
        <w:lastRenderedPageBreak/>
        <w:t>1</w:t>
      </w:r>
      <w:r w:rsidRPr="009467A2">
        <w:rPr>
          <w:rStyle w:val="Heading1Char"/>
          <w:sz w:val="28"/>
          <w:szCs w:val="28"/>
          <w:lang w:val="pt-BR"/>
        </w:rPr>
        <w:t>. Delimitação do Tema e Motivação</w:t>
      </w:r>
      <w:bookmarkEnd w:id="0"/>
    </w:p>
    <w:p w14:paraId="6C71DA1B" w14:textId="5D8220B3" w:rsidR="006237CF" w:rsidRDefault="006237CF" w:rsidP="006237CF">
      <w:pPr>
        <w:pStyle w:val="Heading2"/>
        <w:rPr>
          <w:sz w:val="24"/>
          <w:szCs w:val="24"/>
          <w:lang w:val="pt-BR"/>
        </w:rPr>
      </w:pPr>
      <w:bookmarkStart w:id="1" w:name="_Toc228727115"/>
      <w:r w:rsidRPr="006237CF">
        <w:rPr>
          <w:sz w:val="24"/>
          <w:szCs w:val="24"/>
          <w:lang w:val="pt-BR"/>
        </w:rPr>
        <w:t>1.1 Contextualização</w:t>
      </w:r>
      <w:bookmarkEnd w:id="1"/>
    </w:p>
    <w:p w14:paraId="79A65DD2" w14:textId="77777777" w:rsidR="00C106BE" w:rsidRPr="00C106BE" w:rsidRDefault="00C106BE" w:rsidP="00C106BE">
      <w:pPr>
        <w:jc w:val="both"/>
        <w:rPr>
          <w:sz w:val="22"/>
          <w:szCs w:val="22"/>
          <w:lang w:val="pt-BR"/>
        </w:rPr>
      </w:pPr>
      <w:r w:rsidRPr="00C106BE">
        <w:rPr>
          <w:sz w:val="22"/>
          <w:szCs w:val="22"/>
          <w:lang w:val="pt-BR"/>
        </w:rPr>
        <w:t>As operações de Fusões e Aquisições (F&amp;A) constituem uma das formas mais relevantes de investimento corporativo e de reorganização estrutural do capital nas economias modernas. No Brasil, o mercado de M&amp;A registrou crescimento expressivo ao longo das últimas duas décadas, atingindo recordes históricos de transações em 2020 e 2021, mesmo em contexto de crise sanitária e instabilidade institucional acentuada (PricewaterhouseCoopers, 2021). Compreender os determinantes macroeconômicos dessa dinâmica é, portanto, uma agenda de pesquisa com crescente relevância acadêmica e aplicada.</w:t>
      </w:r>
    </w:p>
    <w:p w14:paraId="7E6A460F" w14:textId="77777777" w:rsidR="00C106BE" w:rsidRPr="00C106BE" w:rsidRDefault="00C106BE" w:rsidP="00C106BE">
      <w:pPr>
        <w:jc w:val="both"/>
        <w:rPr>
          <w:sz w:val="22"/>
          <w:szCs w:val="22"/>
          <w:lang w:val="pt-BR"/>
        </w:rPr>
      </w:pPr>
      <w:r w:rsidRPr="00C106BE">
        <w:rPr>
          <w:sz w:val="22"/>
          <w:szCs w:val="22"/>
          <w:lang w:val="pt-BR"/>
        </w:rPr>
        <w:t>A literatura internacional tem identificado um conjunto robusto de fatores que explicam a variação no volume de M&amp;A ao longo do tempo. Do lado dos fundamentos neoclássicos, choques tecnológicos, regulatórios e econômicos induzem ondas de reorganização setorial mediadas por transações de M&amp;A (Harford, 2005). Do lado comportamental, as ondas de fusões coincidem com períodos de bull market e sobrevalorização das ações (Shleifer e Vishny, 2003). Mais recentemente, uma corrente crescente de pesquisas passou a documentar o papel da incerteza da política econômica como inibidor das atividades de M&amp;A (Bonaime et al., 2018; Nguyen e Phan, 2017; Borthwick et al., 2020), com evidências para o Brasil exploradas pioneiramente por Batista et al. (2022, 2023).</w:t>
      </w:r>
    </w:p>
    <w:p w14:paraId="4E0EA88E" w14:textId="77777777" w:rsidR="00C106BE" w:rsidRPr="00C106BE" w:rsidRDefault="00C106BE" w:rsidP="00C106BE">
      <w:pPr>
        <w:jc w:val="both"/>
        <w:rPr>
          <w:sz w:val="22"/>
          <w:szCs w:val="22"/>
          <w:lang w:val="pt-BR"/>
        </w:rPr>
      </w:pPr>
      <w:r w:rsidRPr="00C106BE">
        <w:rPr>
          <w:sz w:val="22"/>
          <w:szCs w:val="22"/>
          <w:lang w:val="pt-BR"/>
        </w:rPr>
        <w:t>Um determinante macroeconômico ainda pouco explorado no contexto brasileiro — mas com evidências robustas para os Estados Unidos — é a política monetária. Fischer e Horn (2023) demonstraram, usando dados de M&amp;A americanos de 1982 a 2019 e identificação por surpresas de alta frequência em torno das reuniões do FOMC, que um choque contracionista de política monetária reduz persistentemente tanto o número quanto o valor agregado das transações de M&amp;A, com efeitos que se estendem por até dois a três anos após o choque. O canal de transmissão identificado é o crédito: o aumento do custo de financiamento eleva as restrições financeiras das adquirentes potenciais, especialmente as mais alavancadas, reduzindo sua capacidade de concretizar aquisições.</w:t>
      </w:r>
    </w:p>
    <w:p w14:paraId="1EA99A33" w14:textId="25E34195" w:rsidR="00D4417C" w:rsidRDefault="00C106BE" w:rsidP="00C106BE">
      <w:pPr>
        <w:jc w:val="both"/>
        <w:rPr>
          <w:lang w:val="pt-BR"/>
        </w:rPr>
      </w:pPr>
      <w:r w:rsidRPr="00C106BE">
        <w:rPr>
          <w:sz w:val="22"/>
          <w:szCs w:val="22"/>
          <w:lang w:val="pt-BR"/>
        </w:rPr>
        <w:t>No Brasil, essa questão ganha dimensão particular dada a estrutura do regime de política monetária. A taxa Selic, principal instrumento do Banco Central do Brasil (BCB), apresentou ciclos pronunciados de alta e baixa ao longo do período 2005–2024, com episódios de aperto monetário severo — como os ciclos de 2015–2016 (Selic atingindo 14,25% a.a.) e de 2021–2023 (Selic atingindo 13,75% a.a.) — intercalados por períodos de afrouxamento histórico, como o piso de 2,0% a.a. em 2020–2021. Esse perfil de volatilidade da taxa básica cria um laboratório natural para testar a sensibilidade das atividades de M&amp;A ao ciclo monetário doméstico, algo que, até onde se tem conhecimento, ainda não foi investigado de forma sistemática na literatura brasileira</w:t>
      </w:r>
      <w:r w:rsidRPr="00C106BE">
        <w:rPr>
          <w:lang w:val="pt-BR"/>
        </w:rPr>
        <w:t>.</w:t>
      </w:r>
    </w:p>
    <w:p w14:paraId="3D950583" w14:textId="4F64C87F" w:rsidR="00333203" w:rsidRDefault="00333203" w:rsidP="00333203">
      <w:pPr>
        <w:pStyle w:val="Heading2"/>
        <w:rPr>
          <w:sz w:val="24"/>
          <w:szCs w:val="24"/>
          <w:lang w:val="pt-BR"/>
        </w:rPr>
      </w:pPr>
      <w:bookmarkStart w:id="2" w:name="_Toc228727116"/>
      <w:r w:rsidRPr="00333203">
        <w:rPr>
          <w:sz w:val="24"/>
          <w:szCs w:val="24"/>
          <w:lang w:val="pt-BR"/>
        </w:rPr>
        <w:t>1.</w:t>
      </w:r>
      <w:r w:rsidR="00F66CAE">
        <w:rPr>
          <w:sz w:val="24"/>
          <w:szCs w:val="24"/>
          <w:lang w:val="pt-BR"/>
        </w:rPr>
        <w:t>2</w:t>
      </w:r>
      <w:r w:rsidRPr="00333203">
        <w:rPr>
          <w:sz w:val="24"/>
          <w:szCs w:val="24"/>
          <w:lang w:val="pt-BR"/>
        </w:rPr>
        <w:t xml:space="preserve"> Motivação e Relevância</w:t>
      </w:r>
      <w:bookmarkEnd w:id="2"/>
    </w:p>
    <w:p w14:paraId="3C95EC46" w14:textId="77777777" w:rsidR="002D502B" w:rsidRPr="002D502B" w:rsidRDefault="002D502B" w:rsidP="002D502B">
      <w:pPr>
        <w:jc w:val="both"/>
        <w:rPr>
          <w:sz w:val="22"/>
          <w:szCs w:val="22"/>
          <w:lang w:val="pt-BR"/>
        </w:rPr>
      </w:pPr>
      <w:r w:rsidRPr="002D502B">
        <w:rPr>
          <w:sz w:val="22"/>
          <w:szCs w:val="22"/>
          <w:lang w:val="pt-BR"/>
        </w:rPr>
        <w:t>Este trabalho é motivado por três lacunas identificadas na literatura:</w:t>
      </w:r>
    </w:p>
    <w:p w14:paraId="5E961417" w14:textId="77777777" w:rsidR="002D502B" w:rsidRPr="002D502B" w:rsidRDefault="002D502B" w:rsidP="002D502B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2D502B">
        <w:rPr>
          <w:sz w:val="22"/>
          <w:szCs w:val="22"/>
          <w:lang w:val="pt-BR"/>
        </w:rPr>
        <w:t xml:space="preserve">A ausência de estudos brasileiros que investiguem diretamente o efeito da política monetária — medida pela taxa Selic e por choques identificados das reuniões do Copom </w:t>
      </w:r>
      <w:r w:rsidRPr="002D502B">
        <w:rPr>
          <w:sz w:val="22"/>
          <w:szCs w:val="22"/>
          <w:lang w:val="pt-BR"/>
        </w:rPr>
        <w:lastRenderedPageBreak/>
        <w:t>— sobre o volume agregado de M&amp;A no Brasil, em contraponto à ampla evidência disponível para os EUA (Fischer e Horn, 2023) e para outros mercados desenvolvidos;</w:t>
      </w:r>
    </w:p>
    <w:p w14:paraId="3E8DAE51" w14:textId="77777777" w:rsidR="002D502B" w:rsidRPr="002D502B" w:rsidRDefault="002D502B" w:rsidP="002D502B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2D502B">
        <w:rPr>
          <w:sz w:val="22"/>
          <w:szCs w:val="22"/>
          <w:lang w:val="pt-BR"/>
        </w:rPr>
        <w:t>O fato de que os estudos nacionais de referência mais próximos (Batista et al., 2022, 2023) utilizaram a incerteza da política econômica (EPU e IIE-Br) como variável de interesse, sem incorporar explicitamente a taxa de juros como fator independente — lacuna que este trabalho se propõe a preencher, ampliando o período de análise de 2010–2021 para 2005–2024 e adicionando a Selic como variável central;</w:t>
      </w:r>
    </w:p>
    <w:p w14:paraId="5C652BD8" w14:textId="77777777" w:rsidR="002D502B" w:rsidRPr="002D502B" w:rsidRDefault="002D502B" w:rsidP="002D502B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2D502B">
        <w:rPr>
          <w:sz w:val="22"/>
          <w:szCs w:val="22"/>
          <w:lang w:val="pt-BR"/>
        </w:rPr>
        <w:t>A relevância prática do tema para agentes do mercado de capitais e de Corporate Finance no Brasil, dado que a compreensão dos efeitos do ciclo monetário sobre a atividade de M&amp;A é diretamente acionável nas decisões de timing de transações, estruturação financeira de deals e alocação de recursos de fundos de Private Equity e de bancos de investimento.</w:t>
      </w:r>
    </w:p>
    <w:p w14:paraId="1F23AAC2" w14:textId="1ED29E10" w:rsidR="00333203" w:rsidRDefault="00B5174A" w:rsidP="00B5174A">
      <w:pPr>
        <w:jc w:val="both"/>
        <w:rPr>
          <w:sz w:val="22"/>
          <w:szCs w:val="22"/>
          <w:lang w:val="pt-BR"/>
        </w:rPr>
      </w:pPr>
      <w:r w:rsidRPr="00B5174A">
        <w:rPr>
          <w:sz w:val="22"/>
          <w:szCs w:val="22"/>
          <w:lang w:val="pt-BR"/>
        </w:rPr>
        <w:t>Do ponto de vista metodológico, a pesquisa dialoga de forma direta com as referências mais relevantes disponíveis: replica a abordagem de Vetores Autorregressivos (VAR) utilizada por Batista et al. (2022) e por Fischer e Horn (2023) no nível macroeconômico, substituindo ou complementando a variável de incerteza econômica (IIE-Br) pela taxa Selic e pela variação mensal da Selic como proxy do choque monetário. A extensão temporal — de 2005 a 2024 — amplia substancialmente a cobertura dos estudos anteriores e incorpora ciclos monetários inéditos, incluindo o período de juros historicamente baixos de 2020–2021 e o ciclo de aperto mais intenso da história recente em 2022–2023.</w:t>
      </w:r>
    </w:p>
    <w:p w14:paraId="7C8F39E8" w14:textId="67DE561A" w:rsidR="00B5174A" w:rsidRDefault="00B5174A" w:rsidP="00B5174A">
      <w:pPr>
        <w:pStyle w:val="Heading2"/>
        <w:rPr>
          <w:sz w:val="24"/>
          <w:szCs w:val="24"/>
          <w:lang w:val="pt-BR"/>
        </w:rPr>
      </w:pPr>
      <w:bookmarkStart w:id="3" w:name="_Toc228727117"/>
      <w:r w:rsidRPr="00807617">
        <w:rPr>
          <w:sz w:val="24"/>
          <w:szCs w:val="24"/>
          <w:lang w:val="pt-BR"/>
        </w:rPr>
        <w:t>1.3</w:t>
      </w:r>
      <w:r w:rsidR="00807617" w:rsidRPr="00807617">
        <w:rPr>
          <w:sz w:val="24"/>
          <w:szCs w:val="24"/>
          <w:lang w:val="pt-BR"/>
        </w:rPr>
        <w:t xml:space="preserve"> Recorte Temporal e Escopo</w:t>
      </w:r>
      <w:bookmarkEnd w:id="3"/>
    </w:p>
    <w:p w14:paraId="71728B20" w14:textId="6A56D4F5" w:rsidR="00F1025F" w:rsidRDefault="00F66CAE" w:rsidP="00F66CAE">
      <w:pPr>
        <w:jc w:val="both"/>
        <w:rPr>
          <w:sz w:val="22"/>
          <w:szCs w:val="22"/>
          <w:lang w:val="pt-BR"/>
        </w:rPr>
      </w:pPr>
      <w:r w:rsidRPr="00F66CAE">
        <w:rPr>
          <w:sz w:val="22"/>
          <w:szCs w:val="22"/>
          <w:lang w:val="pt-BR"/>
        </w:rPr>
        <w:t>O período de análise compreende janeiro de 2005 a dezembro de 2024, totalizando 240 observações mensais. Esse recorte captura quatro grandes ciclos de alta da Selic identificados pelas atas do Copom: (i) 2008, em resposta à crise financeira global; (ii) 2010–2011, ciclo de normalização pós-crise; (iii) 2015–2016, o ciclo de aperto mais longo e intenso do período democrático recente; e (iv) 2021–2023, resposta à aceleração inflacionária pós-pandemia. A análise será conduzida em nível agregado — volume mensal de anúncios de M&amp;A no Brasil —, com análises de heterogeneidade setorial como extensão.</w:t>
      </w:r>
    </w:p>
    <w:p w14:paraId="4610E9BB" w14:textId="07BE3FCD" w:rsidR="00F1025F" w:rsidRPr="00F1025F" w:rsidRDefault="00F1025F" w:rsidP="00F1025F">
      <w:pPr>
        <w:pStyle w:val="Heading1"/>
        <w:rPr>
          <w:sz w:val="16"/>
          <w:szCs w:val="16"/>
          <w:lang w:val="pt-BR"/>
        </w:rPr>
      </w:pPr>
      <w:bookmarkStart w:id="4" w:name="_Toc228727118"/>
      <w:r w:rsidRPr="00F1025F">
        <w:rPr>
          <w:sz w:val="28"/>
          <w:szCs w:val="28"/>
          <w:lang w:val="pt-BR"/>
        </w:rPr>
        <w:t>2.</w:t>
      </w:r>
      <w:r>
        <w:rPr>
          <w:sz w:val="28"/>
          <w:szCs w:val="28"/>
          <w:lang w:val="pt-BR"/>
        </w:rPr>
        <w:t xml:space="preserve"> </w:t>
      </w:r>
      <w:r w:rsidRPr="00F1025F">
        <w:rPr>
          <w:sz w:val="28"/>
          <w:szCs w:val="28"/>
          <w:lang w:val="pt-BR"/>
        </w:rPr>
        <w:t>Base de Dados</w:t>
      </w:r>
      <w:bookmarkEnd w:id="4"/>
    </w:p>
    <w:p w14:paraId="62B996F5" w14:textId="44CFAF92" w:rsidR="00F1025F" w:rsidRPr="0038612B" w:rsidRDefault="0038612B" w:rsidP="0038612B">
      <w:pPr>
        <w:pStyle w:val="Heading2"/>
        <w:rPr>
          <w:sz w:val="24"/>
          <w:szCs w:val="24"/>
          <w:lang w:val="pt-BR"/>
        </w:rPr>
      </w:pPr>
      <w:bookmarkStart w:id="5" w:name="_Toc228727119"/>
      <w:r w:rsidRPr="0038612B">
        <w:rPr>
          <w:sz w:val="24"/>
          <w:szCs w:val="24"/>
          <w:lang w:val="pt-BR"/>
        </w:rPr>
        <w:t>2.1 Fonte Principal: FactSet (IBMEC DF)</w:t>
      </w:r>
      <w:bookmarkEnd w:id="5"/>
    </w:p>
    <w:p w14:paraId="25992E64" w14:textId="5613A83F" w:rsidR="006B64DC" w:rsidRPr="006B64DC" w:rsidRDefault="006B64DC" w:rsidP="006B64DC">
      <w:pPr>
        <w:jc w:val="both"/>
        <w:rPr>
          <w:sz w:val="22"/>
          <w:szCs w:val="22"/>
          <w:lang w:val="pt-BR"/>
        </w:rPr>
      </w:pPr>
      <w:r w:rsidRPr="006B64DC">
        <w:rPr>
          <w:sz w:val="22"/>
          <w:szCs w:val="22"/>
          <w:lang w:val="pt-BR"/>
        </w:rPr>
        <w:t>A série temporal de volume mensal de M&amp;A — variável dependente central do modelo — será construída a partir da base proprietária do FactSet, acessada por meio da licença institucional do IBMEC DF. O dataset bruto contém aproximadamente 8.</w:t>
      </w:r>
      <w:r w:rsidR="00DB61AB">
        <w:rPr>
          <w:sz w:val="22"/>
          <w:szCs w:val="22"/>
          <w:lang w:val="pt-BR"/>
        </w:rPr>
        <w:t>097</w:t>
      </w:r>
      <w:r w:rsidRPr="006B64DC">
        <w:rPr>
          <w:sz w:val="22"/>
          <w:szCs w:val="22"/>
          <w:lang w:val="pt-BR"/>
        </w:rPr>
        <w:t xml:space="preserve"> transações de M&amp;A anunciadas no Brasil entre 2005 e 202</w:t>
      </w:r>
      <w:r w:rsidR="00DB61AB">
        <w:rPr>
          <w:sz w:val="22"/>
          <w:szCs w:val="22"/>
          <w:lang w:val="pt-BR"/>
        </w:rPr>
        <w:t>4</w:t>
      </w:r>
      <w:r w:rsidRPr="006B64DC">
        <w:rPr>
          <w:sz w:val="22"/>
          <w:szCs w:val="22"/>
          <w:lang w:val="pt-BR"/>
        </w:rPr>
        <w:t>, permitindo a agregação mensal do número de anúncios com precisão e consistência metodológica superior às fontes secundárias alternativas (como os relatórios mensais da PwC, que têm limitações de acesso histórico e de granularidade).</w:t>
      </w:r>
    </w:p>
    <w:p w14:paraId="00957B3D" w14:textId="77777777" w:rsidR="006B64DC" w:rsidRPr="006B64DC" w:rsidRDefault="006B64DC" w:rsidP="006B64DC">
      <w:pPr>
        <w:jc w:val="both"/>
        <w:rPr>
          <w:sz w:val="22"/>
          <w:szCs w:val="22"/>
          <w:lang w:val="pt-BR"/>
        </w:rPr>
      </w:pPr>
      <w:r w:rsidRPr="006B64DC">
        <w:rPr>
          <w:sz w:val="22"/>
          <w:szCs w:val="22"/>
          <w:lang w:val="pt-BR"/>
        </w:rPr>
        <w:t>Para a construção da série de volume mensal, serão aplicados os seguintes critérios de inclusão:</w:t>
      </w:r>
    </w:p>
    <w:p w14:paraId="01A57C86" w14:textId="77777777" w:rsidR="006B64DC" w:rsidRPr="006B64DC" w:rsidRDefault="006B64DC" w:rsidP="006B64DC">
      <w:pPr>
        <w:numPr>
          <w:ilvl w:val="0"/>
          <w:numId w:val="11"/>
        </w:numPr>
        <w:jc w:val="both"/>
        <w:rPr>
          <w:sz w:val="22"/>
          <w:szCs w:val="22"/>
          <w:lang w:val="pt-BR"/>
        </w:rPr>
      </w:pPr>
      <w:r w:rsidRPr="006B64DC">
        <w:rPr>
          <w:sz w:val="22"/>
          <w:szCs w:val="22"/>
          <w:lang w:val="pt-BR"/>
        </w:rPr>
        <w:lastRenderedPageBreak/>
        <w:t>Transações com empresa-alvo sediada no Brasil, independentemente da origem do adquirente (doméstico ou estrangeiro);</w:t>
      </w:r>
    </w:p>
    <w:p w14:paraId="44A6DE59" w14:textId="77777777" w:rsidR="006B64DC" w:rsidRPr="006B64DC" w:rsidRDefault="006B64DC" w:rsidP="006B64DC">
      <w:pPr>
        <w:numPr>
          <w:ilvl w:val="0"/>
          <w:numId w:val="11"/>
        </w:numPr>
        <w:jc w:val="both"/>
        <w:rPr>
          <w:sz w:val="22"/>
          <w:szCs w:val="22"/>
          <w:lang w:val="pt-BR"/>
        </w:rPr>
      </w:pPr>
      <w:r w:rsidRPr="006B64DC">
        <w:rPr>
          <w:sz w:val="22"/>
          <w:szCs w:val="22"/>
          <w:lang w:val="pt-BR"/>
        </w:rPr>
        <w:t>Inclusão de todos os status de transação disponíveis no momento do anúncio — concluídas, pendentes e canceladas —, dado que o objeto de análise é o volume de anúncios e não de fechamentos (seguindo Batista et al., 2022);</w:t>
      </w:r>
    </w:p>
    <w:p w14:paraId="50ACCE1D" w14:textId="24AD23D8" w:rsidR="006B64DC" w:rsidRPr="006B64DC" w:rsidRDefault="006B64DC" w:rsidP="006B64DC">
      <w:pPr>
        <w:numPr>
          <w:ilvl w:val="0"/>
          <w:numId w:val="11"/>
        </w:numPr>
        <w:jc w:val="both"/>
        <w:rPr>
          <w:sz w:val="22"/>
          <w:szCs w:val="22"/>
          <w:lang w:val="pt-BR"/>
        </w:rPr>
      </w:pPr>
      <w:r w:rsidRPr="006B64DC">
        <w:rPr>
          <w:sz w:val="22"/>
          <w:szCs w:val="22"/>
          <w:lang w:val="pt-BR"/>
        </w:rPr>
        <w:t xml:space="preserve">Sem restrição de valor mínimo da transação na série agregada, para máxima abrangência; nas análises de robustez será testado um corte de USD </w:t>
      </w:r>
      <w:r w:rsidR="008657A7">
        <w:rPr>
          <w:sz w:val="22"/>
          <w:szCs w:val="22"/>
          <w:lang w:val="pt-BR"/>
        </w:rPr>
        <w:t>0,5</w:t>
      </w:r>
      <w:r w:rsidRPr="006B64DC">
        <w:rPr>
          <w:sz w:val="22"/>
          <w:szCs w:val="22"/>
          <w:lang w:val="pt-BR"/>
        </w:rPr>
        <w:t xml:space="preserve"> milhão;</w:t>
      </w:r>
    </w:p>
    <w:p w14:paraId="106C0E99" w14:textId="77777777" w:rsidR="006B64DC" w:rsidRPr="006B64DC" w:rsidRDefault="006B64DC" w:rsidP="006B64DC">
      <w:pPr>
        <w:numPr>
          <w:ilvl w:val="0"/>
          <w:numId w:val="11"/>
        </w:numPr>
        <w:jc w:val="both"/>
        <w:rPr>
          <w:sz w:val="22"/>
          <w:szCs w:val="22"/>
          <w:lang w:val="pt-BR"/>
        </w:rPr>
      </w:pPr>
      <w:r w:rsidRPr="006B64DC">
        <w:rPr>
          <w:sz w:val="22"/>
          <w:szCs w:val="22"/>
          <w:lang w:val="pt-BR"/>
        </w:rPr>
        <w:t>Sem restrição de setor na série base; análises de subgrupo por setor GICS serão conduzidas como extensão.</w:t>
      </w:r>
    </w:p>
    <w:p w14:paraId="4DF40D3D" w14:textId="4B6679EC" w:rsidR="00F1025F" w:rsidRPr="00BA6A07" w:rsidRDefault="00BA6A07" w:rsidP="00BA6A07">
      <w:pPr>
        <w:pStyle w:val="Heading2"/>
        <w:rPr>
          <w:sz w:val="24"/>
          <w:szCs w:val="24"/>
          <w:lang w:val="pt-BR"/>
        </w:rPr>
      </w:pPr>
      <w:bookmarkStart w:id="6" w:name="_Toc228727120"/>
      <w:r w:rsidRPr="00BA6A07">
        <w:rPr>
          <w:sz w:val="24"/>
          <w:szCs w:val="24"/>
          <w:lang w:val="pt-BR"/>
        </w:rPr>
        <w:t>2.2 Fontes Complementares</w:t>
      </w:r>
      <w:r>
        <w:rPr>
          <w:sz w:val="24"/>
          <w:szCs w:val="24"/>
          <w:lang w:val="pt-BR"/>
        </w:rPr>
        <w:t xml:space="preserve"> – Variáveis Macroeconômicas</w:t>
      </w:r>
      <w:bookmarkEnd w:id="6"/>
    </w:p>
    <w:p w14:paraId="37537107" w14:textId="77777777" w:rsidR="00D66EC4" w:rsidRPr="00D66EC4" w:rsidRDefault="00D66EC4" w:rsidP="00D66EC4">
      <w:pPr>
        <w:jc w:val="both"/>
        <w:rPr>
          <w:sz w:val="22"/>
          <w:szCs w:val="22"/>
          <w:lang w:val="pt-BR"/>
        </w:rPr>
      </w:pPr>
      <w:r w:rsidRPr="00D66EC4">
        <w:rPr>
          <w:sz w:val="22"/>
          <w:szCs w:val="22"/>
          <w:lang w:val="pt-BR"/>
        </w:rPr>
        <w:t>As variáveis explicativas e de controle do modelo VAR serão obtidas das seguintes fontes públicas, todas com disponibilidade mensal no período 2005–2024:</w:t>
      </w:r>
    </w:p>
    <w:p w14:paraId="1723E1ED" w14:textId="77777777" w:rsidR="00D66EC4" w:rsidRPr="00D66EC4" w:rsidRDefault="00D66EC4" w:rsidP="00D66EC4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D66EC4">
        <w:rPr>
          <w:sz w:val="22"/>
          <w:szCs w:val="22"/>
          <w:lang w:val="pt-BR"/>
        </w:rPr>
        <w:t>Banco Central do Brasil — Sistema Gerenciador de Séries Temporais (BCB/SGS): taxa Selic acumulada mensal (código SGS 4189), variação mensal da Selic, Índice de Atividade Econômica do Banco Central com ajuste sazonal — IBC-Br (código SGS 24364), e IPCA mensal;</w:t>
      </w:r>
    </w:p>
    <w:p w14:paraId="569F0668" w14:textId="77777777" w:rsidR="00D66EC4" w:rsidRPr="00D66EC4" w:rsidRDefault="00D66EC4" w:rsidP="00D66EC4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D66EC4">
        <w:rPr>
          <w:sz w:val="22"/>
          <w:szCs w:val="22"/>
          <w:lang w:val="pt-BR"/>
        </w:rPr>
        <w:t>Banco Central do Brasil — Atas do Copom: utilizadas para a classificação binária dos ciclos de política monetária (alta, estabilidade ou queda da Selic), seguindo o critério de pelo menos duas decisões consecutivas de elevação da taxa como definição do ciclo de aperto;</w:t>
      </w:r>
    </w:p>
    <w:p w14:paraId="2DC59E4C" w14:textId="77777777" w:rsidR="00D66EC4" w:rsidRPr="00D66EC4" w:rsidRDefault="00D66EC4" w:rsidP="00D66EC4">
      <w:pPr>
        <w:numPr>
          <w:ilvl w:val="0"/>
          <w:numId w:val="10"/>
        </w:numPr>
        <w:jc w:val="both"/>
        <w:rPr>
          <w:sz w:val="22"/>
          <w:szCs w:val="22"/>
        </w:rPr>
      </w:pPr>
      <w:r w:rsidRPr="00D66EC4">
        <w:rPr>
          <w:sz w:val="22"/>
          <w:szCs w:val="22"/>
          <w:lang w:val="pt-BR"/>
        </w:rPr>
        <w:t xml:space="preserve">B3 / Economatica: retorno mensal discreto do Ibovespa, utilizado como proxy do desempenho do mercado de capitais — variável relevante tanto pela hipótese comportamental de Shleifer e Vishny (2003) quanto pelos modelos VAR de Boateng et al. </w:t>
      </w:r>
      <w:r w:rsidRPr="00D66EC4">
        <w:rPr>
          <w:sz w:val="22"/>
          <w:szCs w:val="22"/>
        </w:rPr>
        <w:t>(2014) e Batista et al. (2022);</w:t>
      </w:r>
    </w:p>
    <w:p w14:paraId="11568D46" w14:textId="77777777" w:rsidR="00D66EC4" w:rsidRPr="00D66EC4" w:rsidRDefault="00D66EC4" w:rsidP="00D66EC4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D66EC4">
        <w:rPr>
          <w:sz w:val="22"/>
          <w:szCs w:val="22"/>
          <w:lang w:val="pt-BR"/>
        </w:rPr>
        <w:t>B3 / Economatica: volatilidade mensal do Ibovespa, estimada por modelo ARCH, utilizada como proxy da incerteza de mercado;</w:t>
      </w:r>
    </w:p>
    <w:p w14:paraId="495D1F09" w14:textId="34991027" w:rsidR="00F1025F" w:rsidRDefault="00D66EC4" w:rsidP="00F66CAE">
      <w:pPr>
        <w:numPr>
          <w:ilvl w:val="0"/>
          <w:numId w:val="10"/>
        </w:numPr>
        <w:jc w:val="both"/>
        <w:rPr>
          <w:sz w:val="22"/>
          <w:szCs w:val="22"/>
        </w:rPr>
      </w:pPr>
      <w:r w:rsidRPr="00D66EC4">
        <w:rPr>
          <w:sz w:val="22"/>
          <w:szCs w:val="22"/>
          <w:lang w:val="pt-BR"/>
        </w:rPr>
        <w:t xml:space="preserve">FGV/IBRE — policyuncertainty.com: Indicador de Incerteza da Economia — Brasil (IIE-Br), desenvolvido por Ferreira et al. (2019), incluído como variável de controle para isolar o efeito da política monetária do efeito da incerteza econômica geral — distinção metodológica central deste trabalho em relação a Batista et al. </w:t>
      </w:r>
      <w:r w:rsidRPr="00D66EC4">
        <w:rPr>
          <w:sz w:val="22"/>
          <w:szCs w:val="22"/>
        </w:rPr>
        <w:t>(2022).</w:t>
      </w:r>
    </w:p>
    <w:p w14:paraId="730246C0" w14:textId="21D6F31E" w:rsidR="00E71B3D" w:rsidRPr="00D1383A" w:rsidRDefault="00E71B3D" w:rsidP="00E71B3D">
      <w:pPr>
        <w:pStyle w:val="Heading2"/>
        <w:rPr>
          <w:sz w:val="24"/>
          <w:szCs w:val="24"/>
          <w:lang w:val="pt-BR"/>
        </w:rPr>
      </w:pPr>
      <w:bookmarkStart w:id="7" w:name="_Toc228727121"/>
      <w:r w:rsidRPr="00D1383A">
        <w:rPr>
          <w:sz w:val="24"/>
          <w:szCs w:val="24"/>
          <w:lang w:val="pt-BR"/>
        </w:rPr>
        <w:t>2.3 Limitações da Base</w:t>
      </w:r>
      <w:bookmarkEnd w:id="7"/>
    </w:p>
    <w:p w14:paraId="603A7D85" w14:textId="77777777" w:rsidR="00D1383A" w:rsidRPr="00D1383A" w:rsidRDefault="00D1383A" w:rsidP="00D1383A">
      <w:pPr>
        <w:jc w:val="both"/>
        <w:rPr>
          <w:sz w:val="22"/>
          <w:szCs w:val="22"/>
          <w:lang w:val="pt-BR"/>
        </w:rPr>
      </w:pPr>
      <w:r w:rsidRPr="00D1383A">
        <w:rPr>
          <w:sz w:val="22"/>
          <w:szCs w:val="22"/>
          <w:lang w:val="pt-BR"/>
        </w:rPr>
        <w:t>As seguintes limitações serão explicitamente reconhecidas no trabalho:</w:t>
      </w:r>
    </w:p>
    <w:p w14:paraId="3EEE4CCE" w14:textId="77777777" w:rsidR="00D1383A" w:rsidRPr="00D1383A" w:rsidRDefault="00D1383A" w:rsidP="00D1383A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D1383A">
        <w:rPr>
          <w:sz w:val="22"/>
          <w:szCs w:val="22"/>
          <w:lang w:val="pt-BR"/>
        </w:rPr>
        <w:t>A base FactSet cobre transações anunciadas com empresa-alvo no Brasil, mas a identificação do adquirente como empresa listada em bolsa está disponível apenas para um subconjunto das transações, o que restringe análises que requeiram dados de balanço da adquirente;</w:t>
      </w:r>
    </w:p>
    <w:p w14:paraId="57054D7B" w14:textId="77777777" w:rsidR="00D1383A" w:rsidRPr="00D1383A" w:rsidRDefault="00D1383A" w:rsidP="00D1383A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D1383A">
        <w:rPr>
          <w:sz w:val="22"/>
          <w:szCs w:val="22"/>
          <w:lang w:val="pt-BR"/>
        </w:rPr>
        <w:lastRenderedPageBreak/>
        <w:t>A série de volume de M&amp;A obtida do FactSet pode diferir marginalmente dos relatórios agregados da PwC e da Mergermarket por diferenças nos critérios de inclusão de cada base, o que será documentado e discutido;</w:t>
      </w:r>
    </w:p>
    <w:p w14:paraId="073051D0" w14:textId="017A4EF0" w:rsidR="00F1025F" w:rsidRDefault="00D1383A" w:rsidP="00D1383A">
      <w:pPr>
        <w:jc w:val="both"/>
        <w:rPr>
          <w:sz w:val="22"/>
          <w:szCs w:val="22"/>
          <w:lang w:val="pt-BR"/>
        </w:rPr>
      </w:pPr>
      <w:r w:rsidRPr="00D1383A">
        <w:rPr>
          <w:sz w:val="22"/>
          <w:szCs w:val="22"/>
          <w:lang w:val="pt-BR"/>
        </w:rPr>
        <w:t>A disponibilidade do IIE-Br inicia-se em 2000, mas sua versão mais estável e abrangente começa em 2005 — o que coincide com o recorte temporal deste trabalho e não representa perda de dados</w:t>
      </w:r>
    </w:p>
    <w:p w14:paraId="6B0C02F0" w14:textId="5B81149B" w:rsidR="00D1383A" w:rsidRPr="00D1383A" w:rsidRDefault="00D1383A" w:rsidP="00D1383A">
      <w:pPr>
        <w:pStyle w:val="Heading1"/>
        <w:rPr>
          <w:sz w:val="28"/>
          <w:szCs w:val="28"/>
          <w:lang w:val="pt-BR"/>
        </w:rPr>
      </w:pPr>
      <w:bookmarkStart w:id="8" w:name="_Toc228727122"/>
      <w:r w:rsidRPr="00D1383A">
        <w:rPr>
          <w:sz w:val="28"/>
          <w:szCs w:val="28"/>
          <w:lang w:val="pt-BR"/>
        </w:rPr>
        <w:t>3. Problema de Pesquisa e Hipóteses</w:t>
      </w:r>
      <w:bookmarkEnd w:id="8"/>
    </w:p>
    <w:p w14:paraId="3AEC434A" w14:textId="3951F859" w:rsidR="00F1025F" w:rsidRPr="002278AB" w:rsidRDefault="002278AB" w:rsidP="00D1383A">
      <w:pPr>
        <w:pStyle w:val="Heading2"/>
        <w:rPr>
          <w:sz w:val="22"/>
          <w:szCs w:val="22"/>
          <w:lang w:val="pt-BR"/>
        </w:rPr>
      </w:pPr>
      <w:bookmarkStart w:id="9" w:name="_Toc228727123"/>
      <w:r w:rsidRPr="002278AB">
        <w:rPr>
          <w:sz w:val="22"/>
          <w:szCs w:val="22"/>
          <w:lang w:val="pt-BR"/>
        </w:rPr>
        <w:t>3.1 Problema de Pesquisa</w:t>
      </w:r>
      <w:bookmarkEnd w:id="9"/>
    </w:p>
    <w:p w14:paraId="153303A3" w14:textId="4EACDEEA" w:rsidR="00146A64" w:rsidRPr="00146A64" w:rsidRDefault="00146A64" w:rsidP="00146A64">
      <w:pPr>
        <w:jc w:val="both"/>
        <w:rPr>
          <w:sz w:val="22"/>
          <w:szCs w:val="22"/>
          <w:lang w:val="pt-BR"/>
        </w:rPr>
      </w:pPr>
      <w:r w:rsidRPr="00146A64">
        <w:rPr>
          <w:sz w:val="22"/>
          <w:szCs w:val="22"/>
          <w:lang w:val="pt-BR"/>
        </w:rPr>
        <w:t>A questão central que norteia este trabalho é:</w:t>
      </w:r>
    </w:p>
    <w:p w14:paraId="0815370B" w14:textId="0E74E576" w:rsidR="00146A64" w:rsidRPr="00344F43" w:rsidRDefault="00146A64" w:rsidP="002271FF">
      <w:pPr>
        <w:pStyle w:val="Quote"/>
        <w:rPr>
          <w:sz w:val="22"/>
          <w:szCs w:val="22"/>
          <w:lang w:val="pt-BR"/>
        </w:rPr>
      </w:pPr>
      <w:r w:rsidRPr="00344F43">
        <w:rPr>
          <w:sz w:val="22"/>
          <w:szCs w:val="22"/>
          <w:lang w:val="pt-BR"/>
        </w:rPr>
        <w:t>Choques de política monetária contracionista — medidos pela variação da taxa Selic — reduz</w:t>
      </w:r>
      <w:r w:rsidR="009F786F" w:rsidRPr="00344F43">
        <w:rPr>
          <w:sz w:val="22"/>
          <w:szCs w:val="22"/>
          <w:lang w:val="pt-BR"/>
        </w:rPr>
        <w:t>iram</w:t>
      </w:r>
      <w:r w:rsidRPr="00344F43">
        <w:rPr>
          <w:sz w:val="22"/>
          <w:szCs w:val="22"/>
          <w:lang w:val="pt-BR"/>
        </w:rPr>
        <w:t xml:space="preserve"> o volume agregado de anúncios de Fusões e Aquisições no Brasil no período 2005–2024</w:t>
      </w:r>
      <w:r w:rsidR="00946B10" w:rsidRPr="00344F43">
        <w:rPr>
          <w:sz w:val="22"/>
          <w:szCs w:val="22"/>
          <w:lang w:val="pt-BR"/>
        </w:rPr>
        <w:t>?</w:t>
      </w:r>
    </w:p>
    <w:p w14:paraId="30ED4C3B" w14:textId="77777777" w:rsidR="00146A64" w:rsidRDefault="00146A64" w:rsidP="00146A64">
      <w:pPr>
        <w:jc w:val="both"/>
        <w:rPr>
          <w:sz w:val="22"/>
          <w:szCs w:val="22"/>
          <w:lang w:val="pt-BR"/>
        </w:rPr>
      </w:pPr>
      <w:r w:rsidRPr="00146A64">
        <w:rPr>
          <w:sz w:val="22"/>
          <w:szCs w:val="22"/>
          <w:lang w:val="pt-BR"/>
        </w:rPr>
        <w:t>Como questão secundária, investiga-se se esse efeito, caso existente, é heterogêneo entre ciclos monetários distintos, entre setores econômicos e entre subperíodos que incluem ou excluem choques exógenos de grande magnitude, como a crise financeira global de 2008 e a pandemia de COVID-19 em 2020.</w:t>
      </w:r>
    </w:p>
    <w:p w14:paraId="2EFFBEC9" w14:textId="244FC620" w:rsidR="009F786F" w:rsidRDefault="00875A18" w:rsidP="009F786F">
      <w:pPr>
        <w:pStyle w:val="Heading2"/>
        <w:rPr>
          <w:sz w:val="24"/>
          <w:szCs w:val="24"/>
          <w:lang w:val="pt-BR"/>
        </w:rPr>
      </w:pPr>
      <w:bookmarkStart w:id="10" w:name="_Toc228727124"/>
      <w:r w:rsidRPr="00875A18">
        <w:rPr>
          <w:sz w:val="24"/>
          <w:szCs w:val="24"/>
          <w:lang w:val="pt-BR"/>
        </w:rPr>
        <w:t>3.2 Hipóteses</w:t>
      </w:r>
      <w:bookmarkEnd w:id="10"/>
    </w:p>
    <w:p w14:paraId="23B5D90A" w14:textId="22F3B2ED" w:rsidR="00B777AD" w:rsidRPr="00B777AD" w:rsidRDefault="008E6B12" w:rsidP="00B777AD">
      <w:pPr>
        <w:pStyle w:val="Heading3"/>
        <w:rPr>
          <w:sz w:val="22"/>
          <w:szCs w:val="22"/>
          <w:lang w:val="pt-BR"/>
        </w:rPr>
      </w:pPr>
      <w:bookmarkStart w:id="11" w:name="_Toc228727125"/>
      <w:r>
        <w:rPr>
          <w:sz w:val="22"/>
          <w:szCs w:val="22"/>
          <w:lang w:val="pt-BR"/>
        </w:rPr>
        <w:t xml:space="preserve">3.2.1 </w:t>
      </w:r>
      <w:r w:rsidR="00B777AD" w:rsidRPr="00B777AD">
        <w:rPr>
          <w:sz w:val="22"/>
          <w:szCs w:val="22"/>
          <w:lang w:val="pt-BR"/>
        </w:rPr>
        <w:t>H</w:t>
      </w:r>
      <w:r w:rsidR="00B44333">
        <w:rPr>
          <w:sz w:val="22"/>
          <w:szCs w:val="22"/>
          <w:lang w:val="pt-BR"/>
        </w:rPr>
        <w:t xml:space="preserve">ipótese </w:t>
      </w:r>
      <w:r w:rsidR="00B777AD" w:rsidRPr="00B777AD">
        <w:rPr>
          <w:sz w:val="22"/>
          <w:szCs w:val="22"/>
          <w:lang w:val="pt-BR"/>
        </w:rPr>
        <w:t>1</w:t>
      </w:r>
      <w:r>
        <w:rPr>
          <w:sz w:val="22"/>
          <w:szCs w:val="22"/>
          <w:lang w:val="pt-BR"/>
        </w:rPr>
        <w:t>:</w:t>
      </w:r>
      <w:r w:rsidR="00B777AD" w:rsidRPr="00B777AD">
        <w:rPr>
          <w:sz w:val="22"/>
          <w:szCs w:val="22"/>
          <w:lang w:val="pt-BR"/>
        </w:rPr>
        <w:t xml:space="preserve"> Efeito da Política Monetária sobre o Volume de M&amp;A</w:t>
      </w:r>
      <w:bookmarkEnd w:id="11"/>
    </w:p>
    <w:p w14:paraId="125421D0" w14:textId="77777777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H1 (nula): Um choque contracionista da taxa Selic não exerce efeito estatisticamente significativo sobre o volume mensal de anúncios de M&amp;A no Brasil.</w:t>
      </w:r>
    </w:p>
    <w:p w14:paraId="40A1DF7C" w14:textId="77777777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H1a (alternativa): Um choque de alta da Selic reduz significativa e persistentemente o volume mensal de anúncios de M&amp;A no Brasil, com efeito negativo nas funções de impulso-resposta do modelo VAR.</w:t>
      </w:r>
    </w:p>
    <w:p w14:paraId="1D07775C" w14:textId="77777777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Fundamentação: Fischer e Horn (2023) documentam, para os EUA, que um aumento de 1 ponto percentual na taxa de juros de curto prazo reduz em até 23% o número de transações mensais, com efeito que persiste por dois a três anos. A teoria das opções reais (Bernanke, 1983; Dixit e Pindyck, 1994) prevê que ambientes de maior custo de capital incentivam o adiamento de investimentos irreversíveis como as aquisições. Para o Brasil, espera-se que esse efeito seja ao menos de magnitude comparável, dado o papel dominante do crédito bancário no financiamento de transações e a maior sensibilidade das firmas nacionais ao ciclo de juros.</w:t>
      </w:r>
    </w:p>
    <w:p w14:paraId="427AB9B2" w14:textId="23CEB1F1" w:rsidR="00B777AD" w:rsidRPr="008E6B12" w:rsidRDefault="008E6B12" w:rsidP="008E6B12">
      <w:pPr>
        <w:pStyle w:val="Heading3"/>
        <w:rPr>
          <w:sz w:val="22"/>
          <w:szCs w:val="22"/>
          <w:lang w:val="pt-BR"/>
        </w:rPr>
      </w:pPr>
      <w:bookmarkStart w:id="12" w:name="_Toc228727126"/>
      <w:r>
        <w:rPr>
          <w:sz w:val="22"/>
          <w:szCs w:val="22"/>
          <w:lang w:val="pt-BR"/>
        </w:rPr>
        <w:t xml:space="preserve">3.2.2 </w:t>
      </w:r>
      <w:r w:rsidR="00B777AD" w:rsidRPr="008E6B12">
        <w:rPr>
          <w:sz w:val="22"/>
          <w:szCs w:val="22"/>
          <w:lang w:val="pt-BR"/>
        </w:rPr>
        <w:t>H</w:t>
      </w:r>
      <w:r w:rsidR="00B44333">
        <w:rPr>
          <w:sz w:val="22"/>
          <w:szCs w:val="22"/>
          <w:lang w:val="pt-BR"/>
        </w:rPr>
        <w:t xml:space="preserve">ipótese </w:t>
      </w:r>
      <w:r w:rsidR="00B777AD" w:rsidRPr="008E6B12">
        <w:rPr>
          <w:sz w:val="22"/>
          <w:szCs w:val="22"/>
          <w:lang w:val="pt-BR"/>
        </w:rPr>
        <w:t>2</w:t>
      </w:r>
      <w:r>
        <w:rPr>
          <w:sz w:val="22"/>
          <w:szCs w:val="22"/>
          <w:lang w:val="pt-BR"/>
        </w:rPr>
        <w:t>:</w:t>
      </w:r>
      <w:r w:rsidR="00B777AD" w:rsidRPr="008E6B12">
        <w:rPr>
          <w:sz w:val="22"/>
          <w:szCs w:val="22"/>
          <w:lang w:val="pt-BR"/>
        </w:rPr>
        <w:t xml:space="preserve"> Efeito da Incerteza Econômica como Canal Independente</w:t>
      </w:r>
      <w:bookmarkEnd w:id="12"/>
    </w:p>
    <w:p w14:paraId="7932C11F" w14:textId="1A4C65D3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H2 (nula): Após controlar pelo ciclo da Selic, a incerteza econômica — medida pelo IIE-Br — não exerce efeito adicional e independente sobre o volume de M&amp;A.</w:t>
      </w:r>
    </w:p>
    <w:p w14:paraId="2B27ABD6" w14:textId="77777777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H2a (alternativa): O IIE-Br mantém efeito negativo e significativo sobre o volume de M&amp;A mesmo na presença da Selic no modelo, indicando que política monetária e incerteza econômica são canais de transmissão distintos e complementares.</w:t>
      </w:r>
    </w:p>
    <w:p w14:paraId="2BF80809" w14:textId="77777777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lastRenderedPageBreak/>
        <w:t>Fundamentação: Batista et al. (2022) encontraram evidência de que um choque do IIE-Br eleva, de forma contraintuitiva, o volume de M&amp;A no Brasil — resultado divergente da evidência americana de Bonaime et al. (2018) para o EPU, e explicado pelos autores por comportamento mimético e pela lógica neoclássica de reorganização setorial em ambientes de crise. A inclusão simultânea da Selic e do IIE-Br no mesmo modelo permite desvendar se os dois efeitos se sobrepõem ou se são ortogonais.</w:t>
      </w:r>
    </w:p>
    <w:p w14:paraId="65590C32" w14:textId="76E19CBE" w:rsidR="00B777AD" w:rsidRPr="008E6B12" w:rsidRDefault="008E6B12" w:rsidP="008E6B12">
      <w:pPr>
        <w:pStyle w:val="Heading3"/>
        <w:rPr>
          <w:sz w:val="22"/>
          <w:szCs w:val="22"/>
          <w:lang w:val="pt-BR"/>
        </w:rPr>
      </w:pPr>
      <w:bookmarkStart w:id="13" w:name="_Toc228727127"/>
      <w:r>
        <w:rPr>
          <w:sz w:val="22"/>
          <w:szCs w:val="22"/>
          <w:lang w:val="pt-BR"/>
        </w:rPr>
        <w:t xml:space="preserve">3.2.3 </w:t>
      </w:r>
      <w:r w:rsidR="00B777AD" w:rsidRPr="008E6B12">
        <w:rPr>
          <w:sz w:val="22"/>
          <w:szCs w:val="22"/>
          <w:lang w:val="pt-BR"/>
        </w:rPr>
        <w:t>H</w:t>
      </w:r>
      <w:r w:rsidR="00B44333">
        <w:rPr>
          <w:sz w:val="22"/>
          <w:szCs w:val="22"/>
          <w:lang w:val="pt-BR"/>
        </w:rPr>
        <w:t xml:space="preserve">ipótese </w:t>
      </w:r>
      <w:r w:rsidR="00B777AD" w:rsidRPr="008E6B12">
        <w:rPr>
          <w:sz w:val="22"/>
          <w:szCs w:val="22"/>
          <w:lang w:val="pt-BR"/>
        </w:rPr>
        <w:t>3</w:t>
      </w:r>
      <w:r>
        <w:rPr>
          <w:sz w:val="22"/>
          <w:szCs w:val="22"/>
          <w:lang w:val="pt-BR"/>
        </w:rPr>
        <w:t>:</w:t>
      </w:r>
      <w:r w:rsidR="00B777AD" w:rsidRPr="008E6B12">
        <w:rPr>
          <w:sz w:val="22"/>
          <w:szCs w:val="22"/>
          <w:lang w:val="pt-BR"/>
        </w:rPr>
        <w:t xml:space="preserve"> Assimetria entre Ciclos de Alta e de Baixa</w:t>
      </w:r>
      <w:bookmarkEnd w:id="13"/>
    </w:p>
    <w:p w14:paraId="2435CC95" w14:textId="77777777" w:rsidR="00B777AD" w:rsidRP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H3a (alternativa): O efeito do ciclo de alta da Selic sobre o volume de M&amp;A é assimétrico — ou seja, o impacto de um choque de aperto é significativamente maior (em magnitude) do que o efeito de um choque de afrouxamento equivalente.</w:t>
      </w:r>
    </w:p>
    <w:p w14:paraId="3EF6319E" w14:textId="77777777" w:rsidR="00B777AD" w:rsidRDefault="00B777AD" w:rsidP="00B777AD">
      <w:pPr>
        <w:jc w:val="both"/>
        <w:rPr>
          <w:sz w:val="22"/>
          <w:szCs w:val="22"/>
          <w:lang w:val="pt-BR"/>
        </w:rPr>
      </w:pPr>
      <w:r w:rsidRPr="00B777AD">
        <w:rPr>
          <w:sz w:val="22"/>
          <w:szCs w:val="22"/>
          <w:lang w:val="pt-BR"/>
        </w:rPr>
        <w:t>Fundamentação: A literatura de política monetária documenta assimetrias nos efeitos sobre o investimento corporativo, com restrições de crédito operando de forma não-linear (Kiyotaki e Moore, 1997). No contexto brasileiro, as restrições estruturais do sistema financeiro doméstico — concentração bancária, elevado spread, dependência do BNDES — podem amplificar a assimetria entre aperto e afrouxamento monetário no mercado de M&amp;A.</w:t>
      </w:r>
    </w:p>
    <w:p w14:paraId="0A2DFFE0" w14:textId="1724F3EF" w:rsidR="00396604" w:rsidRPr="00396604" w:rsidRDefault="00396604" w:rsidP="00396604">
      <w:pPr>
        <w:pStyle w:val="Heading1"/>
        <w:rPr>
          <w:sz w:val="28"/>
          <w:szCs w:val="28"/>
          <w:lang w:val="pt-BR"/>
        </w:rPr>
      </w:pPr>
      <w:bookmarkStart w:id="14" w:name="_Toc228727128"/>
      <w:r w:rsidRPr="00396604">
        <w:rPr>
          <w:sz w:val="28"/>
          <w:szCs w:val="28"/>
          <w:lang w:val="pt-BR"/>
        </w:rPr>
        <w:t>4. Estratégia Empírica e Metodologia</w:t>
      </w:r>
      <w:bookmarkEnd w:id="14"/>
    </w:p>
    <w:p w14:paraId="2C4142AB" w14:textId="3D2AE52D" w:rsidR="00875A18" w:rsidRPr="00396604" w:rsidRDefault="00396604" w:rsidP="00396604">
      <w:pPr>
        <w:pStyle w:val="Heading2"/>
        <w:rPr>
          <w:sz w:val="24"/>
          <w:szCs w:val="24"/>
          <w:lang w:val="pt-BR"/>
        </w:rPr>
      </w:pPr>
      <w:bookmarkStart w:id="15" w:name="_Toc228727129"/>
      <w:r w:rsidRPr="00396604">
        <w:rPr>
          <w:sz w:val="24"/>
          <w:szCs w:val="24"/>
          <w:lang w:val="pt-BR"/>
        </w:rPr>
        <w:t>4.1 Visão Geral</w:t>
      </w:r>
      <w:bookmarkEnd w:id="15"/>
    </w:p>
    <w:p w14:paraId="1CA83DDE" w14:textId="77777777" w:rsidR="00876BA8" w:rsidRPr="00876BA8" w:rsidRDefault="00876BA8" w:rsidP="00876BA8">
      <w:pPr>
        <w:jc w:val="both"/>
        <w:rPr>
          <w:sz w:val="22"/>
          <w:szCs w:val="22"/>
          <w:lang w:val="pt-BR"/>
        </w:rPr>
      </w:pPr>
      <w:r w:rsidRPr="00876BA8">
        <w:rPr>
          <w:sz w:val="22"/>
          <w:szCs w:val="22"/>
          <w:lang w:val="pt-BR"/>
        </w:rPr>
        <w:t>A estratégia empírica replicará e estenderá a abordagem de Batista et al. (2022) e de Fischer e Horn (2023), utilizando modelos de Vetores Autorregressivos (VAR) para dados de séries temporais mensais. O VAR é o estimador natural para este problema por três razões: (i) permite capturar a dinâmica de retroalimentação entre as variáveis — já que M&amp;A, Selic e atividade econômica são interdependentes no tempo; (ii) produz funções de impulso-resposta que quantificam o efeito de um choque em uma variável sobre as demais ao longo de meses subsequentes; e (iii) é a especificação adotada nas duas referências mais próximas deste trabalho, garantindo comparabilidade direta dos resultados.</w:t>
      </w:r>
    </w:p>
    <w:p w14:paraId="2FE24554" w14:textId="7D5A2338" w:rsidR="00F1025F" w:rsidRPr="00876BA8" w:rsidRDefault="00876BA8" w:rsidP="00876BA8">
      <w:pPr>
        <w:jc w:val="both"/>
        <w:rPr>
          <w:sz w:val="22"/>
          <w:szCs w:val="22"/>
          <w:lang w:val="pt-BR"/>
        </w:rPr>
      </w:pPr>
      <w:r w:rsidRPr="00876BA8">
        <w:rPr>
          <w:sz w:val="22"/>
          <w:szCs w:val="22"/>
          <w:lang w:val="pt-BR"/>
        </w:rPr>
        <w:t>O procedimento de estimação seguirá as etapas iterativas descritas em Batista et al. (2022), adaptadas com a inclusão da Selic como variável de interesse principal e com o período estendido para 2005–2024</w:t>
      </w:r>
    </w:p>
    <w:p w14:paraId="5630442B" w14:textId="405599E4" w:rsidR="00F1025F" w:rsidRPr="00876BA8" w:rsidRDefault="00876BA8" w:rsidP="00876BA8">
      <w:pPr>
        <w:pStyle w:val="Heading2"/>
        <w:rPr>
          <w:sz w:val="24"/>
          <w:szCs w:val="24"/>
          <w:lang w:val="pt-BR"/>
        </w:rPr>
      </w:pPr>
      <w:bookmarkStart w:id="16" w:name="_Toc228727130"/>
      <w:r w:rsidRPr="00876BA8">
        <w:rPr>
          <w:sz w:val="24"/>
          <w:szCs w:val="24"/>
          <w:lang w:val="pt-BR"/>
        </w:rPr>
        <w:t>4.2 Especificações do Modelo VAR</w:t>
      </w:r>
      <w:bookmarkEnd w:id="16"/>
    </w:p>
    <w:p w14:paraId="57AFAB4C" w14:textId="460227B7" w:rsidR="00F1025F" w:rsidRPr="00876BA8" w:rsidRDefault="00876BA8" w:rsidP="00876BA8">
      <w:pPr>
        <w:pStyle w:val="Heading3"/>
        <w:rPr>
          <w:sz w:val="22"/>
          <w:szCs w:val="22"/>
          <w:lang w:val="pt-BR"/>
        </w:rPr>
      </w:pPr>
      <w:bookmarkStart w:id="17" w:name="_Toc228727131"/>
      <w:r w:rsidRPr="00876BA8">
        <w:rPr>
          <w:sz w:val="22"/>
          <w:szCs w:val="22"/>
          <w:lang w:val="pt-BR"/>
        </w:rPr>
        <w:t>4.2.1 Vetor de Variáveis Endógenas</w:t>
      </w:r>
      <w:bookmarkEnd w:id="17"/>
    </w:p>
    <w:p w14:paraId="668B1E19" w14:textId="77777777" w:rsidR="008371EF" w:rsidRPr="008371EF" w:rsidRDefault="008371EF" w:rsidP="008371EF">
      <w:pPr>
        <w:jc w:val="both"/>
        <w:rPr>
          <w:sz w:val="22"/>
          <w:szCs w:val="22"/>
          <w:lang w:val="pt-BR"/>
        </w:rPr>
      </w:pPr>
      <w:r w:rsidRPr="008371EF">
        <w:rPr>
          <w:sz w:val="22"/>
          <w:szCs w:val="22"/>
          <w:lang w:val="pt-BR"/>
        </w:rPr>
        <w:t>O vetor base de variáveis endógenas do modelo VAR(p) é dado por:</w:t>
      </w:r>
    </w:p>
    <w:p w14:paraId="020EA3B7" w14:textId="5618F81F" w:rsidR="008371EF" w:rsidRPr="008D19AF" w:rsidRDefault="008371EF" w:rsidP="008D19AF">
      <w:pPr>
        <w:pStyle w:val="Quote"/>
        <w:rPr>
          <w:rStyle w:val="Emphasis"/>
        </w:rPr>
      </w:pPr>
      <w:r w:rsidRPr="008D19AF">
        <w:rPr>
          <w:rStyle w:val="Emphasis"/>
        </w:rPr>
        <w:t>y_t = [No.M&amp;A_t, SELIC_t, IIE-Br_t, IBC-Br_t, IBOV_t, VOL.IBOV_t]</w:t>
      </w:r>
    </w:p>
    <w:p w14:paraId="06AB55E9" w14:textId="7BD87EAE" w:rsidR="008371EF" w:rsidRPr="008371EF" w:rsidRDefault="008371EF" w:rsidP="008371EF">
      <w:pPr>
        <w:jc w:val="both"/>
        <w:rPr>
          <w:sz w:val="22"/>
          <w:szCs w:val="22"/>
          <w:lang w:val="pt-BR"/>
        </w:rPr>
      </w:pPr>
      <w:r w:rsidRPr="008371EF">
        <w:rPr>
          <w:sz w:val="22"/>
          <w:szCs w:val="22"/>
          <w:lang w:val="pt-BR"/>
        </w:rPr>
        <w:t>onde</w:t>
      </w:r>
      <w:r w:rsidR="008D19AF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No.M&amp;A_t</w:t>
      </w:r>
      <w:r w:rsidR="008D19AF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é o volume mensal de anúncios de M&amp;A no Brasil; </w:t>
      </w:r>
      <w:r w:rsidR="000311F0">
        <w:rPr>
          <w:sz w:val="22"/>
          <w:szCs w:val="22"/>
          <w:lang w:val="pt-BR"/>
        </w:rPr>
        <w:t>“</w:t>
      </w:r>
      <w:r w:rsidRPr="008371EF">
        <w:rPr>
          <w:sz w:val="22"/>
          <w:szCs w:val="22"/>
          <w:lang w:val="pt-BR"/>
        </w:rPr>
        <w:t>SELIC_t</w:t>
      </w:r>
      <w:r w:rsidR="000311F0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é a taxa Selic mensal acumulada; </w:t>
      </w:r>
      <w:r w:rsidR="000311F0">
        <w:rPr>
          <w:sz w:val="22"/>
          <w:szCs w:val="22"/>
          <w:lang w:val="pt-BR"/>
        </w:rPr>
        <w:t>“</w:t>
      </w:r>
      <w:r w:rsidRPr="008371EF">
        <w:rPr>
          <w:sz w:val="22"/>
          <w:szCs w:val="22"/>
          <w:lang w:val="pt-BR"/>
        </w:rPr>
        <w:t>IIE-Br_t</w:t>
      </w:r>
      <w:r w:rsidR="000311F0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é o Indicador de Incerteza da Economia; </w:t>
      </w:r>
      <w:r w:rsidR="000311F0">
        <w:rPr>
          <w:sz w:val="22"/>
          <w:szCs w:val="22"/>
          <w:lang w:val="pt-BR"/>
        </w:rPr>
        <w:t>“</w:t>
      </w:r>
      <w:r w:rsidRPr="008371EF">
        <w:rPr>
          <w:sz w:val="22"/>
          <w:szCs w:val="22"/>
          <w:lang w:val="pt-BR"/>
        </w:rPr>
        <w:t>IBC-Br_t</w:t>
      </w:r>
      <w:r w:rsidR="000311F0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é o índice de atividade econômica do BCB com ajuste sazonal; </w:t>
      </w:r>
      <w:r w:rsidR="000311F0">
        <w:rPr>
          <w:sz w:val="22"/>
          <w:szCs w:val="22"/>
          <w:lang w:val="pt-BR"/>
        </w:rPr>
        <w:t>“</w:t>
      </w:r>
      <w:r w:rsidRPr="008371EF">
        <w:rPr>
          <w:sz w:val="22"/>
          <w:szCs w:val="22"/>
          <w:lang w:val="pt-BR"/>
        </w:rPr>
        <w:t>IBOV_t</w:t>
      </w:r>
      <w:r w:rsidR="000311F0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é o retorno mensal do Ibovespa; e </w:t>
      </w:r>
      <w:r w:rsidR="000311F0">
        <w:rPr>
          <w:sz w:val="22"/>
          <w:szCs w:val="22"/>
          <w:lang w:val="pt-BR"/>
        </w:rPr>
        <w:t>“</w:t>
      </w:r>
      <w:r w:rsidRPr="008371EF">
        <w:rPr>
          <w:sz w:val="22"/>
          <w:szCs w:val="22"/>
          <w:lang w:val="pt-BR"/>
        </w:rPr>
        <w:t>VOL.IBOV_t</w:t>
      </w:r>
      <w:r w:rsidR="000311F0">
        <w:rPr>
          <w:sz w:val="22"/>
          <w:szCs w:val="22"/>
          <w:lang w:val="pt-BR"/>
        </w:rPr>
        <w:t>”</w:t>
      </w:r>
      <w:r w:rsidRPr="008371EF">
        <w:rPr>
          <w:sz w:val="22"/>
          <w:szCs w:val="22"/>
          <w:lang w:val="pt-BR"/>
        </w:rPr>
        <w:t xml:space="preserve"> é a volatilidade mensal estimada dos retornos do Ibovespa.</w:t>
      </w:r>
    </w:p>
    <w:p w14:paraId="760B887C" w14:textId="77777777" w:rsidR="008371EF" w:rsidRDefault="008371EF" w:rsidP="008371EF">
      <w:pPr>
        <w:jc w:val="both"/>
        <w:rPr>
          <w:sz w:val="22"/>
          <w:szCs w:val="22"/>
          <w:lang w:val="pt-BR"/>
        </w:rPr>
      </w:pPr>
      <w:r w:rsidRPr="008371EF">
        <w:rPr>
          <w:sz w:val="22"/>
          <w:szCs w:val="22"/>
          <w:lang w:val="pt-BR"/>
        </w:rPr>
        <w:lastRenderedPageBreak/>
        <w:t>Essa especificação é diretamente derivada de Batista et al. (2022), que utilizam o mesmo conjunto de variáveis com IIE-Br como variável de interesse. A modificação central deste trabalho é a substituição — e depois a adição — da Selic no lugar (e ao lado) do IIE-Br como variável de interesse, testando as hipóteses H1 e H2.</w:t>
      </w:r>
    </w:p>
    <w:p w14:paraId="57A61A53" w14:textId="59235404" w:rsidR="000311F0" w:rsidRPr="00F27142" w:rsidRDefault="000311F0" w:rsidP="000311F0">
      <w:pPr>
        <w:pStyle w:val="Heading3"/>
        <w:rPr>
          <w:sz w:val="24"/>
          <w:szCs w:val="24"/>
          <w:lang w:val="pt-BR"/>
        </w:rPr>
      </w:pPr>
      <w:bookmarkStart w:id="18" w:name="_Toc228727132"/>
      <w:r w:rsidRPr="00F27142">
        <w:rPr>
          <w:sz w:val="24"/>
          <w:szCs w:val="24"/>
          <w:lang w:val="pt-BR"/>
        </w:rPr>
        <w:t>4.</w:t>
      </w:r>
      <w:r w:rsidR="00F27142" w:rsidRPr="00F27142">
        <w:rPr>
          <w:sz w:val="24"/>
          <w:szCs w:val="24"/>
          <w:lang w:val="pt-BR"/>
        </w:rPr>
        <w:t>2.2 Forma Reduzida do VAR</w:t>
      </w:r>
      <w:bookmarkEnd w:id="18"/>
    </w:p>
    <w:p w14:paraId="26E80737" w14:textId="77777777" w:rsidR="00016747" w:rsidRPr="00016747" w:rsidRDefault="00016747" w:rsidP="00016747">
      <w:pPr>
        <w:jc w:val="both"/>
        <w:rPr>
          <w:sz w:val="22"/>
          <w:szCs w:val="22"/>
          <w:lang w:val="pt-BR"/>
        </w:rPr>
      </w:pPr>
      <w:r w:rsidRPr="00016747">
        <w:rPr>
          <w:sz w:val="22"/>
          <w:szCs w:val="22"/>
          <w:lang w:val="pt-BR"/>
        </w:rPr>
        <w:t>A forma reduzida do VAR(p) pode ser escrita como:</w:t>
      </w:r>
    </w:p>
    <w:p w14:paraId="2E698D64" w14:textId="77777777" w:rsidR="00016747" w:rsidRPr="00016747" w:rsidRDefault="00016747" w:rsidP="00016747">
      <w:pPr>
        <w:pStyle w:val="Quote"/>
        <w:rPr>
          <w:lang w:val="pt-BR"/>
        </w:rPr>
      </w:pPr>
      <w:r w:rsidRPr="00016747">
        <w:rPr>
          <w:lang w:val="pt-BR"/>
        </w:rPr>
        <w:t xml:space="preserve">y_t = </w:t>
      </w:r>
      <w:r w:rsidRPr="00016747">
        <w:t>Φ</w:t>
      </w:r>
      <w:r w:rsidRPr="00016747">
        <w:rPr>
          <w:lang w:val="pt-BR"/>
        </w:rPr>
        <w:t xml:space="preserve">_0 + </w:t>
      </w:r>
      <w:r w:rsidRPr="00016747">
        <w:t>Φ</w:t>
      </w:r>
      <w:r w:rsidRPr="00016747">
        <w:rPr>
          <w:lang w:val="pt-BR"/>
        </w:rPr>
        <w:t xml:space="preserve">_1·y_{t-1} + </w:t>
      </w:r>
      <w:r w:rsidRPr="00016747">
        <w:t>Φ</w:t>
      </w:r>
      <w:r w:rsidRPr="00016747">
        <w:rPr>
          <w:lang w:val="pt-BR"/>
        </w:rPr>
        <w:t xml:space="preserve">_2·y_{t-2} + ... + </w:t>
      </w:r>
      <w:r w:rsidRPr="00016747">
        <w:t>Φ</w:t>
      </w:r>
      <w:r w:rsidRPr="00016747">
        <w:rPr>
          <w:lang w:val="pt-BR"/>
        </w:rPr>
        <w:t xml:space="preserve">_p·y_{t-p} + </w:t>
      </w:r>
      <w:r w:rsidRPr="00016747">
        <w:t>ε</w:t>
      </w:r>
      <w:r w:rsidRPr="00016747">
        <w:rPr>
          <w:lang w:val="pt-BR"/>
        </w:rPr>
        <w:t>_t</w:t>
      </w:r>
    </w:p>
    <w:p w14:paraId="226208F3" w14:textId="77777777" w:rsidR="00016747" w:rsidRDefault="00016747" w:rsidP="00016747">
      <w:pPr>
        <w:jc w:val="both"/>
        <w:rPr>
          <w:sz w:val="22"/>
          <w:szCs w:val="22"/>
          <w:lang w:val="pt-BR"/>
        </w:rPr>
      </w:pPr>
      <w:r w:rsidRPr="00016747">
        <w:rPr>
          <w:sz w:val="22"/>
          <w:szCs w:val="22"/>
          <w:lang w:val="pt-BR"/>
        </w:rPr>
        <w:t xml:space="preserve">onde </w:t>
      </w:r>
      <w:r w:rsidRPr="00016747">
        <w:rPr>
          <w:sz w:val="22"/>
          <w:szCs w:val="22"/>
        </w:rPr>
        <w:t>Φ</w:t>
      </w:r>
      <w:r w:rsidRPr="00016747">
        <w:rPr>
          <w:sz w:val="22"/>
          <w:szCs w:val="22"/>
          <w:lang w:val="pt-BR"/>
        </w:rPr>
        <w:t xml:space="preserve">_0 é um vetor k-dimensional de constantes, </w:t>
      </w:r>
      <w:r w:rsidRPr="00016747">
        <w:rPr>
          <w:sz w:val="22"/>
          <w:szCs w:val="22"/>
        </w:rPr>
        <w:t>Φ</w:t>
      </w:r>
      <w:r w:rsidRPr="00016747">
        <w:rPr>
          <w:sz w:val="22"/>
          <w:szCs w:val="22"/>
          <w:lang w:val="pt-BR"/>
        </w:rPr>
        <w:t xml:space="preserve">_l são matrizes k×k de coeficientes autorregressivos para cada defasagem l = 1, ..., p, e </w:t>
      </w:r>
      <w:r w:rsidRPr="00016747">
        <w:rPr>
          <w:sz w:val="22"/>
          <w:szCs w:val="22"/>
        </w:rPr>
        <w:t>ε</w:t>
      </w:r>
      <w:r w:rsidRPr="00016747">
        <w:rPr>
          <w:sz w:val="22"/>
          <w:szCs w:val="22"/>
          <w:lang w:val="pt-BR"/>
        </w:rPr>
        <w:t xml:space="preserve">_t é um vetor de inovações com média zero e matriz de covariância </w:t>
      </w:r>
      <w:r w:rsidRPr="00016747">
        <w:rPr>
          <w:sz w:val="22"/>
          <w:szCs w:val="22"/>
        </w:rPr>
        <w:t>Σ</w:t>
      </w:r>
      <w:r w:rsidRPr="00016747">
        <w:rPr>
          <w:sz w:val="22"/>
          <w:szCs w:val="22"/>
          <w:lang w:val="pt-BR"/>
        </w:rPr>
        <w:t>. A condição de estacionaridade das séries será verificada antes da estimação.</w:t>
      </w:r>
    </w:p>
    <w:p w14:paraId="1F97CEAD" w14:textId="41DE30D8" w:rsidR="002622D3" w:rsidRPr="002622D3" w:rsidRDefault="002622D3" w:rsidP="002622D3">
      <w:pPr>
        <w:pStyle w:val="Heading2"/>
        <w:rPr>
          <w:sz w:val="24"/>
          <w:szCs w:val="24"/>
          <w:lang w:val="pt-BR"/>
        </w:rPr>
      </w:pPr>
      <w:bookmarkStart w:id="19" w:name="_Toc228727133"/>
      <w:r w:rsidRPr="002622D3">
        <w:rPr>
          <w:sz w:val="24"/>
          <w:szCs w:val="24"/>
          <w:lang w:val="pt-BR"/>
        </w:rPr>
        <w:t>4.3 Etapas de Modelagem</w:t>
      </w:r>
      <w:bookmarkEnd w:id="19"/>
    </w:p>
    <w:p w14:paraId="444A8579" w14:textId="77777777" w:rsidR="00DC2D49" w:rsidRPr="00DC2D49" w:rsidRDefault="00DC2D49" w:rsidP="00DC2D49">
      <w:pPr>
        <w:pStyle w:val="Heading3"/>
        <w:rPr>
          <w:sz w:val="22"/>
          <w:szCs w:val="22"/>
          <w:lang w:val="pt-BR"/>
        </w:rPr>
      </w:pPr>
      <w:bookmarkStart w:id="20" w:name="_Toc228727134"/>
      <w:r w:rsidRPr="00DC2D49">
        <w:rPr>
          <w:sz w:val="22"/>
          <w:szCs w:val="22"/>
          <w:lang w:val="pt-BR"/>
        </w:rPr>
        <w:t>4.3.1 Inspeção Gráfica e Tratamento das Séries</w:t>
      </w:r>
      <w:bookmarkEnd w:id="20"/>
    </w:p>
    <w:p w14:paraId="79EF45E6" w14:textId="77777777" w:rsidR="00DC2D49" w:rsidRPr="00DC2D49" w:rsidRDefault="00DC2D49" w:rsidP="00DC2D49">
      <w:pPr>
        <w:jc w:val="both"/>
        <w:rPr>
          <w:sz w:val="22"/>
          <w:szCs w:val="22"/>
          <w:lang w:val="pt-BR"/>
        </w:rPr>
      </w:pPr>
      <w:r w:rsidRPr="00DC2D49">
        <w:rPr>
          <w:sz w:val="22"/>
          <w:szCs w:val="22"/>
          <w:lang w:val="pt-BR"/>
        </w:rPr>
        <w:t>A primeira etapa consistirá na inspeção gráfica das séries, seguida de transformações quando necessário. O volume mensal de M&amp;A será analisado tanto em nível quanto em primeiras diferenças e em log. A taxa Selic e o IBC-Br serão utilizados em nível e em variação mensal (primeira diferença), respectivamente, conforme Batista et al. (2022). O IIE-Br será utilizado em nível, seguindo a mesma referência.</w:t>
      </w:r>
    </w:p>
    <w:p w14:paraId="6B598BAD" w14:textId="77777777" w:rsidR="00DC2D49" w:rsidRPr="00DC2D49" w:rsidRDefault="00DC2D49" w:rsidP="00DC2D49">
      <w:pPr>
        <w:pStyle w:val="Heading3"/>
        <w:rPr>
          <w:sz w:val="22"/>
          <w:szCs w:val="22"/>
          <w:lang w:val="pt-BR"/>
        </w:rPr>
      </w:pPr>
      <w:bookmarkStart w:id="21" w:name="_Toc228727135"/>
      <w:r w:rsidRPr="00DC2D49">
        <w:rPr>
          <w:sz w:val="22"/>
          <w:szCs w:val="22"/>
          <w:lang w:val="pt-BR"/>
        </w:rPr>
        <w:t>4.3.2 Testes de Raiz Unitária</w:t>
      </w:r>
      <w:bookmarkEnd w:id="21"/>
    </w:p>
    <w:p w14:paraId="65506741" w14:textId="77777777" w:rsidR="00DC2D49" w:rsidRPr="00DC2D49" w:rsidRDefault="00DC2D49" w:rsidP="00DC2D49">
      <w:pPr>
        <w:jc w:val="both"/>
        <w:rPr>
          <w:sz w:val="22"/>
          <w:szCs w:val="22"/>
          <w:lang w:val="pt-BR"/>
        </w:rPr>
      </w:pPr>
      <w:r w:rsidRPr="00DC2D49">
        <w:rPr>
          <w:sz w:val="22"/>
          <w:szCs w:val="22"/>
          <w:lang w:val="pt-BR"/>
        </w:rPr>
        <w:t>A estacionaridade de cada série será testada pelos testes de Dickey-Fuller Aumentado (ADF) e de Phillips-Perron (PP), conforme Dickey e Fuller (1981) e Phillips e Perron (1988). O teste ADF incorpora possibilidades de não-estacionaridade em função de tendência determinística e de drift; o teste PP faz uma correção não-paramétrica que o torna robusto a heterocedasticidade e autocorrelação nos resíduos, sendo mais adequado para séries financeiras com essas características (Batista et al., 2022). Caso as séries não sejam individualmente estacionárias, será avaliada a existência de relações de cointegração, com possível adoção do modelo VEC (Vector Error Correction) em substituição ao VAR em diferenças.</w:t>
      </w:r>
    </w:p>
    <w:p w14:paraId="589608BF" w14:textId="77777777" w:rsidR="00DC2D49" w:rsidRPr="00DC2D49" w:rsidRDefault="00DC2D49" w:rsidP="00DC2D49">
      <w:pPr>
        <w:pStyle w:val="Heading3"/>
        <w:rPr>
          <w:sz w:val="22"/>
          <w:szCs w:val="22"/>
          <w:lang w:val="pt-BR"/>
        </w:rPr>
      </w:pPr>
      <w:bookmarkStart w:id="22" w:name="_Toc228727136"/>
      <w:r w:rsidRPr="00DC2D49">
        <w:rPr>
          <w:sz w:val="22"/>
          <w:szCs w:val="22"/>
          <w:lang w:val="pt-BR"/>
        </w:rPr>
        <w:t>4.3.3 Teste de Causalidade de Granger</w:t>
      </w:r>
      <w:bookmarkEnd w:id="22"/>
    </w:p>
    <w:p w14:paraId="0EDA62F4" w14:textId="77777777" w:rsidR="00DC2D49" w:rsidRPr="00DC2D49" w:rsidRDefault="00DC2D49" w:rsidP="00DC2D49">
      <w:pPr>
        <w:jc w:val="both"/>
        <w:rPr>
          <w:sz w:val="22"/>
          <w:szCs w:val="22"/>
          <w:lang w:val="pt-BR"/>
        </w:rPr>
      </w:pPr>
      <w:r w:rsidRPr="00DC2D49">
        <w:rPr>
          <w:sz w:val="22"/>
          <w:szCs w:val="22"/>
          <w:lang w:val="pt-BR"/>
        </w:rPr>
        <w:t>Antes da estimação do VAR, será aplicado o teste de causalidade de Granger (1969) para verificar se os valores defasados da Selic e do IIE-Br ajudam a prever o volume de M&amp;A, e vice-versa. A causalidade de Granger não implica causalidade teórica, mas é uma condição necessária para que as variáveis candidatas sejam incluídas no sistema. A hipótese nula a ser testada em relação à hipótese central é que a Selic não Granger-causa o volume de M&amp;A — rejeição dessa hipótese constitui evidência preliminar favorável a H1.</w:t>
      </w:r>
    </w:p>
    <w:p w14:paraId="6B12DCC4" w14:textId="77777777" w:rsidR="00DC2D49" w:rsidRPr="00DC2D49" w:rsidRDefault="00DC2D49" w:rsidP="00DC2D49">
      <w:pPr>
        <w:pStyle w:val="Heading3"/>
        <w:rPr>
          <w:sz w:val="22"/>
          <w:szCs w:val="22"/>
          <w:lang w:val="pt-BR"/>
        </w:rPr>
      </w:pPr>
      <w:bookmarkStart w:id="23" w:name="_Toc228727137"/>
      <w:r w:rsidRPr="00DC2D49">
        <w:rPr>
          <w:sz w:val="22"/>
          <w:szCs w:val="22"/>
          <w:lang w:val="pt-BR"/>
        </w:rPr>
        <w:t>4.3.4 Seleção da Ordem de Defasagem</w:t>
      </w:r>
      <w:bookmarkEnd w:id="23"/>
    </w:p>
    <w:p w14:paraId="4DAC38E6" w14:textId="77777777" w:rsidR="00DC2D49" w:rsidRPr="00DC2D49" w:rsidRDefault="00DC2D49" w:rsidP="00DC2D49">
      <w:pPr>
        <w:jc w:val="both"/>
        <w:rPr>
          <w:sz w:val="22"/>
          <w:szCs w:val="22"/>
          <w:lang w:val="pt-BR"/>
        </w:rPr>
      </w:pPr>
      <w:r w:rsidRPr="00DC2D49">
        <w:rPr>
          <w:sz w:val="22"/>
          <w:szCs w:val="22"/>
          <w:lang w:val="pt-BR"/>
        </w:rPr>
        <w:t xml:space="preserve">A ordem de defasagem p do modelo VAR será selecionada pelos critérios de informação de Akaike (AIC) e de Schwarz Bayesiano (SBIC), analisados conjuntamente para modelos com até p = 12 defasagens (horizonte de um ano). Conforme Batista et al. (2022), o critério SBIC — mais </w:t>
      </w:r>
      <w:r w:rsidRPr="00DC2D49">
        <w:rPr>
          <w:sz w:val="22"/>
          <w:szCs w:val="22"/>
          <w:lang w:val="pt-BR"/>
        </w:rPr>
        <w:lastRenderedPageBreak/>
        <w:t>parcimonioso — será utilizado como referência principal, com o AIC como referência secundária em caso de discordância.</w:t>
      </w:r>
    </w:p>
    <w:p w14:paraId="7636DC9D" w14:textId="77777777" w:rsidR="001F2D33" w:rsidRPr="001F2D33" w:rsidRDefault="001F2D33" w:rsidP="001F2D33">
      <w:pPr>
        <w:pStyle w:val="Heading2"/>
        <w:rPr>
          <w:sz w:val="24"/>
          <w:szCs w:val="24"/>
          <w:lang w:val="pt-BR"/>
        </w:rPr>
      </w:pPr>
      <w:bookmarkStart w:id="24" w:name="_Toc228727138"/>
      <w:r w:rsidRPr="001F2D33">
        <w:rPr>
          <w:sz w:val="24"/>
          <w:szCs w:val="24"/>
          <w:lang w:val="pt-BR"/>
        </w:rPr>
        <w:t>4.4 Função de Impulso-Resposta (IRF)</w:t>
      </w:r>
      <w:bookmarkEnd w:id="24"/>
    </w:p>
    <w:p w14:paraId="31BA5CAF" w14:textId="77777777" w:rsidR="001F2D33" w:rsidRPr="001F2D33" w:rsidRDefault="001F2D33" w:rsidP="001F2D33">
      <w:pPr>
        <w:jc w:val="both"/>
        <w:rPr>
          <w:sz w:val="22"/>
          <w:szCs w:val="22"/>
          <w:lang w:val="pt-BR"/>
        </w:rPr>
      </w:pPr>
      <w:r w:rsidRPr="001F2D33">
        <w:rPr>
          <w:sz w:val="22"/>
          <w:szCs w:val="22"/>
          <w:lang w:val="pt-BR"/>
        </w:rPr>
        <w:t>A análise central dos resultados será conduzida por meio das Funções de Impulso-Resposta (IRF), que medem a resposta dinâmica do volume de M&amp;A a um choque de um desvio-padrão na taxa Selic e no IIE-Br, ao longo de um horizonte de oito a doze meses após o choque. As IRFs serão apresentadas com intervalos de confiança de 95% calculados por bootstrap (1.000 replicações).</w:t>
      </w:r>
    </w:p>
    <w:p w14:paraId="558283E8" w14:textId="77777777" w:rsidR="001F2D33" w:rsidRPr="001F2D33" w:rsidRDefault="001F2D33" w:rsidP="001F2D33">
      <w:pPr>
        <w:jc w:val="both"/>
        <w:rPr>
          <w:sz w:val="22"/>
          <w:szCs w:val="22"/>
          <w:lang w:val="pt-BR"/>
        </w:rPr>
      </w:pPr>
      <w:r w:rsidRPr="001F2D33">
        <w:rPr>
          <w:sz w:val="22"/>
          <w:szCs w:val="22"/>
          <w:lang w:val="pt-BR"/>
        </w:rPr>
        <w:t>Para a identificação dos choques estruturais, será adotada a decomposição de Cholesky, com ordenação das variáveis baseada no critério de exogeneidade relativa: variáveis macroeconômicas (Selic, IBC-Br, IIE-Br) precedem as variáveis financeiras (IBOV, VOL.IBOV) e estas precedem o volume de M&amp;A, refletindo a menor capacidade de resposta imediata das decisões de aquisição em relação a choques nas demais variáveis. Essa ordenação é consistente com a adotada por Batista et al. (2022) e será objeto de análise de sensibilidade.</w:t>
      </w:r>
    </w:p>
    <w:p w14:paraId="0B0B4F6C" w14:textId="77777777" w:rsidR="001F2D33" w:rsidRPr="001F2D33" w:rsidRDefault="001F2D33" w:rsidP="001F2D33">
      <w:pPr>
        <w:jc w:val="both"/>
        <w:rPr>
          <w:sz w:val="22"/>
          <w:szCs w:val="22"/>
          <w:lang w:val="pt-BR"/>
        </w:rPr>
      </w:pPr>
      <w:r w:rsidRPr="001F2D33">
        <w:rPr>
          <w:sz w:val="22"/>
          <w:szCs w:val="22"/>
          <w:lang w:val="pt-BR"/>
        </w:rPr>
        <w:t>Complementarmente, serão calculadas as decomposições da variância do erro de previsão (FEVD), que quantificam a fração da variância do volume de M&amp;A atribuível a cada variável do sistema ao longo do horizonte de previsão — fornecendo uma medida da importância relativa da política monetária vis-à-vis os demais fatores.</w:t>
      </w:r>
    </w:p>
    <w:p w14:paraId="30167E04" w14:textId="77777777" w:rsidR="0022265D" w:rsidRPr="0022265D" w:rsidRDefault="0022265D" w:rsidP="0022265D">
      <w:pPr>
        <w:pStyle w:val="Heading2"/>
        <w:rPr>
          <w:sz w:val="24"/>
          <w:szCs w:val="24"/>
          <w:lang w:val="pt-BR"/>
        </w:rPr>
      </w:pPr>
      <w:bookmarkStart w:id="25" w:name="_Toc228727139"/>
      <w:r w:rsidRPr="0022265D">
        <w:rPr>
          <w:sz w:val="24"/>
          <w:szCs w:val="24"/>
          <w:lang w:val="pt-BR"/>
        </w:rPr>
        <w:t>4.5 Análise de Subperíodos e Heterogeneidade</w:t>
      </w:r>
      <w:bookmarkEnd w:id="25"/>
    </w:p>
    <w:p w14:paraId="69ED3F0F" w14:textId="77777777" w:rsidR="0022265D" w:rsidRPr="0022265D" w:rsidRDefault="0022265D" w:rsidP="0022265D">
      <w:pPr>
        <w:jc w:val="both"/>
        <w:rPr>
          <w:sz w:val="22"/>
          <w:szCs w:val="22"/>
          <w:lang w:val="pt-BR"/>
        </w:rPr>
      </w:pPr>
      <w:r w:rsidRPr="0022265D">
        <w:rPr>
          <w:sz w:val="22"/>
          <w:szCs w:val="22"/>
          <w:lang w:val="pt-BR"/>
        </w:rPr>
        <w:t>Para testar H3 e analisar a robustez dos resultados principais, serão conduzidas análises em subamostras:</w:t>
      </w:r>
    </w:p>
    <w:p w14:paraId="4D9919F6" w14:textId="77777777" w:rsidR="0022265D" w:rsidRPr="0022265D" w:rsidRDefault="0022265D" w:rsidP="0022265D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22265D">
        <w:rPr>
          <w:sz w:val="22"/>
          <w:szCs w:val="22"/>
          <w:lang w:val="pt-BR"/>
        </w:rPr>
        <w:t>Ciclos de alta vs. ciclos de baixa da Selic: comparação das IRFs estimadas separadamente para os meses classificados como de aperto monetário e de afrouxamento, testando a assimetria de H3a. A classificação seguirá as atas do Copom, com ciclo de alta definido como pelo menos duas decisões consecutivas de elevação da taxa;</w:t>
      </w:r>
    </w:p>
    <w:p w14:paraId="0585C158" w14:textId="77777777" w:rsidR="0022265D" w:rsidRPr="0022265D" w:rsidRDefault="0022265D" w:rsidP="0022265D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22265D">
        <w:rPr>
          <w:sz w:val="22"/>
          <w:szCs w:val="22"/>
          <w:lang w:val="pt-BR"/>
        </w:rPr>
        <w:t>Análise setorial: decomposição do volume mensal de M&amp;A por setor de atuação da empresa-alvo (GICS), com foco nos setores de Tecnologia, Varejo e Infraestrutura — setores com maior representatividade na base FactSet e com sensibilidades distintas ao ciclo de crédito;</w:t>
      </w:r>
    </w:p>
    <w:p w14:paraId="775711AD" w14:textId="77777777" w:rsidR="0022265D" w:rsidRPr="0022265D" w:rsidRDefault="0022265D" w:rsidP="0022265D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22265D">
        <w:rPr>
          <w:sz w:val="22"/>
          <w:szCs w:val="22"/>
          <w:lang w:val="pt-BR"/>
        </w:rPr>
        <w:t>Exclusão de outliers macroeconômicos: estimação do modelo excluindo os períodos de setembro de 2008 a março de 2009 (crise financeira global) e de março de 2020 a dezembro de 2020 (choque inicial da pandemia de COVID-19), verificando a estabilidade dos coeficientes.</w:t>
      </w:r>
    </w:p>
    <w:p w14:paraId="61C8FEB2" w14:textId="77777777" w:rsidR="001D4C86" w:rsidRPr="001D4C86" w:rsidRDefault="001D4C86" w:rsidP="001D4C86">
      <w:pPr>
        <w:pStyle w:val="Heading2"/>
        <w:rPr>
          <w:rFonts w:eastAsia="Arial"/>
          <w:sz w:val="24"/>
          <w:szCs w:val="24"/>
        </w:rPr>
      </w:pPr>
      <w:bookmarkStart w:id="26" w:name="_Toc228727140"/>
      <w:r w:rsidRPr="001D4C86">
        <w:rPr>
          <w:rFonts w:eastAsia="Arial"/>
          <w:sz w:val="24"/>
          <w:szCs w:val="24"/>
        </w:rPr>
        <w:t>4.6 Sumário das Variáveis</w:t>
      </w:r>
      <w:bookmarkEnd w:id="26"/>
    </w:p>
    <w:p w14:paraId="76DFE36E" w14:textId="77777777" w:rsidR="001D4C86" w:rsidRDefault="001D4C86" w:rsidP="001D4C86">
      <w:pPr>
        <w:spacing w:before="60" w:after="60"/>
        <w:rPr>
          <w:rFonts w:eastAsia="Arial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3638"/>
        <w:gridCol w:w="2187"/>
        <w:gridCol w:w="1819"/>
      </w:tblGrid>
      <w:tr w:rsidR="001D4C86" w:rsidRPr="00E22673" w14:paraId="0FA4FDCE" w14:textId="77777777" w:rsidTr="00E22673">
        <w:trPr>
          <w:trHeight w:val="439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4DAF7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0EDB4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BE02B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399EE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b/>
                <w:bCs/>
                <w:sz w:val="20"/>
                <w:szCs w:val="20"/>
              </w:rPr>
              <w:t>Sinal Esperado</w:t>
            </w:r>
          </w:p>
        </w:tc>
      </w:tr>
      <w:tr w:rsidR="001D4C86" w:rsidRPr="00E22673" w14:paraId="0C8502A1" w14:textId="77777777" w:rsidTr="00E22673">
        <w:trPr>
          <w:trHeight w:val="703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9801B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lastRenderedPageBreak/>
              <w:t>No. M&amp;A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A47575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Volume mensal de anúncios de M&amp;A no Brasil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3AE7B0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FactSet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73123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Dep.</w:t>
            </w:r>
          </w:p>
        </w:tc>
      </w:tr>
      <w:tr w:rsidR="001D4C86" w:rsidRPr="00E22673" w14:paraId="5C7A292A" w14:textId="77777777" w:rsidTr="00E22673">
        <w:trPr>
          <w:trHeight w:val="439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C29814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SELIC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511CF1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Taxa Selic acumulada mensal (% a.a.)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0360C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BCB/SGS (cód. 4189)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B644CD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(−)</w:t>
            </w:r>
          </w:p>
        </w:tc>
      </w:tr>
      <w:tr w:rsidR="001D4C86" w:rsidRPr="00E22673" w14:paraId="5D2E2276" w14:textId="77777777" w:rsidTr="00E22673">
        <w:trPr>
          <w:trHeight w:val="718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8A0F0B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ΔSELIC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6FEA38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Variação mensal da Selic (em p.p.) — proxy do choque de política monetária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793C49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BCB/SGS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0AA379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(−)</w:t>
            </w:r>
          </w:p>
        </w:tc>
      </w:tr>
      <w:tr w:rsidR="001D4C86" w:rsidRPr="00E22673" w14:paraId="3A01D243" w14:textId="77777777" w:rsidTr="00E22673">
        <w:trPr>
          <w:trHeight w:val="703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CE9F9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IIE-Br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D8DEE2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Indicador de Incerteza da Economia — Brasil (FGV/IBRE)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EB4D61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policyuncertainty.com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474CF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(−) / (+)</w:t>
            </w:r>
          </w:p>
        </w:tc>
      </w:tr>
      <w:tr w:rsidR="001D4C86" w:rsidRPr="00E22673" w14:paraId="66C0CCF3" w14:textId="77777777" w:rsidTr="00E22673">
        <w:trPr>
          <w:trHeight w:val="718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EC1C7E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IBC-Br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0E0AE7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Índice de Atividade Econômica do Banco Central (c/ ajuste sazonal)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C526F2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BCB/SGS (cód. 24364)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3E263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(+)</w:t>
            </w:r>
          </w:p>
        </w:tc>
      </w:tr>
      <w:tr w:rsidR="001D4C86" w:rsidRPr="00E22673" w14:paraId="6AD50ADC" w14:textId="77777777" w:rsidTr="00E22673">
        <w:trPr>
          <w:trHeight w:val="439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837014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IBOV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6F7507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Retorno mensal discreto do Ibovespa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E94523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B3 / Economatica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E4761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(+)</w:t>
            </w:r>
          </w:p>
        </w:tc>
      </w:tr>
      <w:tr w:rsidR="001D4C86" w:rsidRPr="00E22673" w14:paraId="4C67777E" w14:textId="77777777" w:rsidTr="00E22673">
        <w:trPr>
          <w:trHeight w:val="718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E83B9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VOL_IBOV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E015F7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Volatilidade mensal do Ibovespa (ARCH/GARCH)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B782B1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B3 / Economatica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1D919A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(−)</w:t>
            </w:r>
          </w:p>
        </w:tc>
      </w:tr>
      <w:tr w:rsidR="001D4C86" w:rsidRPr="00E22673" w14:paraId="386AC427" w14:textId="77777777" w:rsidTr="00E22673">
        <w:trPr>
          <w:trHeight w:val="439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5FFF9B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IPCA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DDA730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Variação mensal do IPCA (inflação)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3BA06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IBGE / BCB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44D00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(−)</w:t>
            </w:r>
          </w:p>
        </w:tc>
      </w:tr>
      <w:tr w:rsidR="001D4C86" w:rsidRPr="00E22673" w14:paraId="70343A46" w14:textId="77777777" w:rsidTr="00E22673">
        <w:trPr>
          <w:trHeight w:val="718"/>
          <w:jc w:val="center"/>
        </w:trPr>
        <w:tc>
          <w:tcPr>
            <w:tcW w:w="1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3ED1F" w14:textId="77777777" w:rsidR="001D4C86" w:rsidRPr="00E22673" w:rsidRDefault="001D4C86" w:rsidP="001D4C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SELIC_ALTA</w:t>
            </w:r>
          </w:p>
        </w:tc>
        <w:tc>
          <w:tcPr>
            <w:tcW w:w="3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DCC01E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22673">
              <w:rPr>
                <w:sz w:val="20"/>
                <w:szCs w:val="20"/>
                <w:lang w:val="pt-BR"/>
              </w:rPr>
              <w:t>Dummy = 1 em meses de ciclo de alta da Selic (Copom)</w:t>
            </w:r>
          </w:p>
        </w:tc>
        <w:tc>
          <w:tcPr>
            <w:tcW w:w="2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C2EA22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Atas do Copom / BCB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CECC7" w14:textId="77777777" w:rsidR="001D4C86" w:rsidRPr="00E22673" w:rsidRDefault="001D4C86" w:rsidP="001D4C86">
            <w:pPr>
              <w:spacing w:line="240" w:lineRule="auto"/>
              <w:rPr>
                <w:sz w:val="20"/>
                <w:szCs w:val="20"/>
              </w:rPr>
            </w:pPr>
            <w:r w:rsidRPr="00E22673">
              <w:rPr>
                <w:sz w:val="20"/>
                <w:szCs w:val="20"/>
              </w:rPr>
              <w:t>Subsample</w:t>
            </w:r>
          </w:p>
        </w:tc>
      </w:tr>
    </w:tbl>
    <w:p w14:paraId="2DA49CBE" w14:textId="77777777" w:rsidR="00F1025F" w:rsidRDefault="00F1025F" w:rsidP="00F66CAE">
      <w:pPr>
        <w:jc w:val="both"/>
        <w:rPr>
          <w:sz w:val="22"/>
          <w:szCs w:val="22"/>
          <w:lang w:val="pt-BR"/>
        </w:rPr>
      </w:pPr>
    </w:p>
    <w:p w14:paraId="36D41BE2" w14:textId="77777777" w:rsidR="009E4114" w:rsidRPr="009E4114" w:rsidRDefault="009E4114" w:rsidP="009E4114">
      <w:pPr>
        <w:pStyle w:val="Heading2"/>
        <w:rPr>
          <w:rFonts w:eastAsia="Arial"/>
          <w:sz w:val="24"/>
          <w:szCs w:val="24"/>
        </w:rPr>
      </w:pPr>
      <w:bookmarkStart w:id="27" w:name="_Toc228727141"/>
      <w:r w:rsidRPr="009E4114">
        <w:rPr>
          <w:rFonts w:eastAsia="Arial"/>
          <w:sz w:val="24"/>
          <w:szCs w:val="24"/>
        </w:rPr>
        <w:t>4.7 Testes de Robustez Adicionais</w:t>
      </w:r>
      <w:bookmarkEnd w:id="27"/>
    </w:p>
    <w:p w14:paraId="023E71AA" w14:textId="77777777" w:rsidR="009E4114" w:rsidRPr="009E4114" w:rsidRDefault="009E4114" w:rsidP="009E4114">
      <w:pPr>
        <w:spacing w:before="80" w:after="80"/>
        <w:jc w:val="both"/>
        <w:rPr>
          <w:rFonts w:eastAsia="Arial"/>
          <w:sz w:val="22"/>
          <w:szCs w:val="22"/>
          <w:lang w:val="pt-BR"/>
        </w:rPr>
      </w:pPr>
      <w:r w:rsidRPr="009E4114">
        <w:rPr>
          <w:sz w:val="22"/>
          <w:szCs w:val="22"/>
          <w:lang w:val="pt-BR"/>
        </w:rPr>
        <w:t>Além das análises de subperíodo, serão conduzidos os seguintes testes de robustez:</w:t>
      </w:r>
    </w:p>
    <w:p w14:paraId="309B41F4" w14:textId="77777777" w:rsidR="009E4114" w:rsidRPr="009E4114" w:rsidRDefault="009E4114" w:rsidP="009E411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jc w:val="both"/>
        <w:rPr>
          <w:sz w:val="22"/>
          <w:szCs w:val="22"/>
          <w:lang w:val="pt-BR"/>
        </w:rPr>
      </w:pPr>
      <w:r w:rsidRPr="009E4114">
        <w:rPr>
          <w:sz w:val="22"/>
          <w:szCs w:val="22"/>
          <w:lang w:val="pt-BR"/>
        </w:rPr>
        <w:t>Substituição da Selic mensal pela variação da Selic (</w:t>
      </w:r>
      <w:r w:rsidRPr="009E4114">
        <w:rPr>
          <w:sz w:val="22"/>
          <w:szCs w:val="22"/>
        </w:rPr>
        <w:t>Δ</w:t>
      </w:r>
      <w:r w:rsidRPr="009E4114">
        <w:rPr>
          <w:sz w:val="22"/>
          <w:szCs w:val="22"/>
          <w:lang w:val="pt-BR"/>
        </w:rPr>
        <w:t>SELIC em p.p.) como medida do choque monetário — especificação que se aproxima da abordagem de Fischer e Horn (2023) com surpresas de política monetária;</w:t>
      </w:r>
    </w:p>
    <w:p w14:paraId="4F3DF426" w14:textId="77777777" w:rsidR="009E4114" w:rsidRPr="009E4114" w:rsidRDefault="009E4114" w:rsidP="009E411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jc w:val="both"/>
        <w:rPr>
          <w:sz w:val="22"/>
          <w:szCs w:val="22"/>
          <w:lang w:val="pt-BR"/>
        </w:rPr>
      </w:pPr>
      <w:r w:rsidRPr="009E4114">
        <w:rPr>
          <w:sz w:val="22"/>
          <w:szCs w:val="22"/>
          <w:lang w:val="pt-BR"/>
        </w:rPr>
        <w:t>Inclusão do IPCA mensal como variável adicional no vetor endógeno, para controlar por choques inflacionários que podem ser correlacionados tanto com a decisão do Copom quanto com o ambiente de negócios;</w:t>
      </w:r>
    </w:p>
    <w:p w14:paraId="16CC43BA" w14:textId="77777777" w:rsidR="009E4114" w:rsidRPr="009E4114" w:rsidRDefault="009E4114" w:rsidP="009E411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jc w:val="both"/>
        <w:rPr>
          <w:sz w:val="22"/>
          <w:szCs w:val="22"/>
          <w:lang w:val="pt-BR"/>
        </w:rPr>
      </w:pPr>
      <w:r w:rsidRPr="009E4114">
        <w:rPr>
          <w:sz w:val="22"/>
          <w:szCs w:val="22"/>
          <w:lang w:val="pt-BR"/>
        </w:rPr>
        <w:t>Reordenação das variáveis na decomposição de Cholesky para verificar a sensibilidade dos resultados à ordenação de identificação;</w:t>
      </w:r>
    </w:p>
    <w:p w14:paraId="354EFBF4" w14:textId="77777777" w:rsidR="009E4114" w:rsidRPr="009E4114" w:rsidRDefault="009E4114" w:rsidP="009E411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jc w:val="both"/>
        <w:rPr>
          <w:sz w:val="22"/>
          <w:szCs w:val="22"/>
          <w:lang w:val="pt-BR"/>
        </w:rPr>
      </w:pPr>
      <w:r w:rsidRPr="009E4114">
        <w:rPr>
          <w:sz w:val="22"/>
          <w:szCs w:val="22"/>
          <w:lang w:val="pt-BR"/>
        </w:rPr>
        <w:t>Estimação com lag length alternativo (p = 1 seguindo o SBIC e p = 3 seguindo o AIC) para verificar a estabilidade dos resultados à especificação do modelo;</w:t>
      </w:r>
    </w:p>
    <w:p w14:paraId="3224A120" w14:textId="77777777" w:rsidR="009E4114" w:rsidRPr="009E4114" w:rsidRDefault="009E4114" w:rsidP="009E411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jc w:val="both"/>
        <w:rPr>
          <w:sz w:val="22"/>
          <w:szCs w:val="22"/>
        </w:rPr>
      </w:pPr>
      <w:r w:rsidRPr="009E4114">
        <w:rPr>
          <w:sz w:val="22"/>
          <w:szCs w:val="22"/>
          <w:lang w:val="pt-BR"/>
        </w:rPr>
        <w:t xml:space="preserve">Uso do EPU Brasil (Baker et al., 2016) como alternativa ao IIE-Br, replicando a especificação de Batista et al. </w:t>
      </w:r>
      <w:r w:rsidRPr="009E4114">
        <w:rPr>
          <w:sz w:val="22"/>
          <w:szCs w:val="22"/>
        </w:rPr>
        <w:t>(2023).</w:t>
      </w:r>
    </w:p>
    <w:p w14:paraId="57D66EDC" w14:textId="77777777" w:rsidR="00F1025F" w:rsidRDefault="00F1025F" w:rsidP="00F66CAE">
      <w:pPr>
        <w:jc w:val="both"/>
        <w:rPr>
          <w:sz w:val="22"/>
          <w:szCs w:val="22"/>
          <w:lang w:val="pt-BR"/>
        </w:rPr>
      </w:pPr>
    </w:p>
    <w:p w14:paraId="7D3E668A" w14:textId="77777777" w:rsidR="0042238F" w:rsidRPr="0042238F" w:rsidRDefault="0042238F" w:rsidP="0042238F">
      <w:pPr>
        <w:pStyle w:val="Heading2"/>
        <w:rPr>
          <w:sz w:val="24"/>
          <w:szCs w:val="24"/>
        </w:rPr>
      </w:pPr>
      <w:bookmarkStart w:id="28" w:name="_Toc228727142"/>
      <w:r w:rsidRPr="0042238F">
        <w:rPr>
          <w:sz w:val="24"/>
          <w:szCs w:val="24"/>
        </w:rPr>
        <w:t>4.8 Cronograma</w:t>
      </w:r>
      <w:bookmarkEnd w:id="28"/>
    </w:p>
    <w:p w14:paraId="5DF0AEC6" w14:textId="77777777" w:rsidR="0042238F" w:rsidRPr="0042238F" w:rsidRDefault="0042238F" w:rsidP="0042238F">
      <w:pPr>
        <w:jc w:val="both"/>
        <w:rPr>
          <w:sz w:val="22"/>
          <w:szCs w:val="22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2238F" w:rsidRPr="0042238F" w14:paraId="097E3884" w14:textId="77777777" w:rsidTr="0042238F">
        <w:trPr>
          <w:jc w:val="center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DB878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t>Etapa / Prazo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ACBEF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42238F" w:rsidRPr="00DB61AB" w14:paraId="63C296E7" w14:textId="77777777" w:rsidTr="0042238F">
        <w:trPr>
          <w:jc w:val="center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4AC544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lastRenderedPageBreak/>
              <w:t>Meses 1–2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EAD14" w14:textId="77777777" w:rsidR="0042238F" w:rsidRPr="0042238F" w:rsidRDefault="0042238F" w:rsidP="0042238F">
            <w:pPr>
              <w:jc w:val="both"/>
              <w:rPr>
                <w:sz w:val="20"/>
                <w:szCs w:val="20"/>
                <w:lang w:val="pt-BR"/>
              </w:rPr>
            </w:pPr>
            <w:r w:rsidRPr="0042238F">
              <w:rPr>
                <w:sz w:val="20"/>
                <w:szCs w:val="20"/>
                <w:lang w:val="pt-BR"/>
              </w:rPr>
              <w:t>Revisão da literatura; coleta e tratamento da base FactSet; download das séries macroeconômicas (BCB, FGV, B3); construção da série mensal de volume de M&amp;A</w:t>
            </w:r>
          </w:p>
        </w:tc>
      </w:tr>
      <w:tr w:rsidR="0042238F" w:rsidRPr="00DB61AB" w14:paraId="472B1486" w14:textId="77777777" w:rsidTr="0042238F">
        <w:trPr>
          <w:jc w:val="center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4166D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t>Meses 3–4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7D2CC2" w14:textId="77777777" w:rsidR="0042238F" w:rsidRPr="0042238F" w:rsidRDefault="0042238F" w:rsidP="0042238F">
            <w:pPr>
              <w:jc w:val="both"/>
              <w:rPr>
                <w:sz w:val="20"/>
                <w:szCs w:val="20"/>
                <w:lang w:val="pt-BR"/>
              </w:rPr>
            </w:pPr>
            <w:r w:rsidRPr="0042238F">
              <w:rPr>
                <w:sz w:val="20"/>
                <w:szCs w:val="20"/>
                <w:lang w:val="pt-BR"/>
              </w:rPr>
              <w:t>Testes de raiz unitária (ADF e PP); teste de causalidade de Granger; seleção de defasagens (AIC/SBIC); estimação do modelo VAR/VEC</w:t>
            </w:r>
          </w:p>
        </w:tc>
      </w:tr>
      <w:tr w:rsidR="0042238F" w:rsidRPr="00DB61AB" w14:paraId="0E6D4EB5" w14:textId="77777777" w:rsidTr="0042238F">
        <w:trPr>
          <w:jc w:val="center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F30DE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t>Mês 5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2ACD5" w14:textId="77777777" w:rsidR="0042238F" w:rsidRPr="0042238F" w:rsidRDefault="0042238F" w:rsidP="0042238F">
            <w:pPr>
              <w:jc w:val="both"/>
              <w:rPr>
                <w:sz w:val="20"/>
                <w:szCs w:val="20"/>
                <w:lang w:val="pt-BR"/>
              </w:rPr>
            </w:pPr>
            <w:r w:rsidRPr="0042238F">
              <w:rPr>
                <w:sz w:val="20"/>
                <w:szCs w:val="20"/>
                <w:lang w:val="pt-BR"/>
              </w:rPr>
              <w:t>Análise das funções de impulso-resposta; decomposição da variância; testes de robustez e análise de subperíodos</w:t>
            </w:r>
          </w:p>
        </w:tc>
      </w:tr>
      <w:tr w:rsidR="0042238F" w:rsidRPr="00DB61AB" w14:paraId="1A5A1016" w14:textId="77777777" w:rsidTr="0042238F">
        <w:trPr>
          <w:jc w:val="center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13BD1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t>Meses 6–7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06E09" w14:textId="77777777" w:rsidR="0042238F" w:rsidRPr="0042238F" w:rsidRDefault="0042238F" w:rsidP="0042238F">
            <w:pPr>
              <w:jc w:val="both"/>
              <w:rPr>
                <w:sz w:val="20"/>
                <w:szCs w:val="20"/>
                <w:lang w:val="pt-BR"/>
              </w:rPr>
            </w:pPr>
            <w:r w:rsidRPr="0042238F">
              <w:rPr>
                <w:sz w:val="20"/>
                <w:szCs w:val="20"/>
                <w:lang w:val="pt-BR"/>
              </w:rPr>
              <w:t>Análise de heterogeneidade por setor; regressões auxiliares de propensão a M&amp;A; redação do TCC</w:t>
            </w:r>
          </w:p>
        </w:tc>
      </w:tr>
      <w:tr w:rsidR="0042238F" w:rsidRPr="00DB61AB" w14:paraId="2E91456D" w14:textId="77777777" w:rsidTr="0042238F">
        <w:trPr>
          <w:jc w:val="center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7D40B" w14:textId="77777777" w:rsidR="0042238F" w:rsidRPr="0042238F" w:rsidRDefault="0042238F" w:rsidP="0042238F">
            <w:pPr>
              <w:jc w:val="both"/>
              <w:rPr>
                <w:sz w:val="20"/>
                <w:szCs w:val="20"/>
              </w:rPr>
            </w:pPr>
            <w:r w:rsidRPr="0042238F">
              <w:rPr>
                <w:b/>
                <w:bCs/>
                <w:sz w:val="20"/>
                <w:szCs w:val="20"/>
              </w:rPr>
              <w:t>Mês 8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E5860" w14:textId="77777777" w:rsidR="0042238F" w:rsidRPr="0042238F" w:rsidRDefault="0042238F" w:rsidP="0042238F">
            <w:pPr>
              <w:jc w:val="both"/>
              <w:rPr>
                <w:sz w:val="20"/>
                <w:szCs w:val="20"/>
                <w:lang w:val="pt-BR"/>
              </w:rPr>
            </w:pPr>
            <w:r w:rsidRPr="0042238F">
              <w:rPr>
                <w:sz w:val="20"/>
                <w:szCs w:val="20"/>
                <w:lang w:val="pt-BR"/>
              </w:rPr>
              <w:t>Revisão final, formatação ABNT e entrega</w:t>
            </w:r>
          </w:p>
        </w:tc>
      </w:tr>
    </w:tbl>
    <w:p w14:paraId="21DD04B4" w14:textId="77777777" w:rsidR="00F1025F" w:rsidRDefault="00F1025F" w:rsidP="00F66CAE">
      <w:pPr>
        <w:jc w:val="both"/>
        <w:rPr>
          <w:sz w:val="22"/>
          <w:szCs w:val="22"/>
          <w:lang w:val="pt-BR"/>
        </w:rPr>
      </w:pPr>
    </w:p>
    <w:p w14:paraId="70912B65" w14:textId="77777777" w:rsidR="00930875" w:rsidRPr="00930875" w:rsidRDefault="00930875" w:rsidP="00930875">
      <w:pPr>
        <w:pStyle w:val="Heading1"/>
        <w:rPr>
          <w:sz w:val="28"/>
          <w:szCs w:val="28"/>
          <w:lang w:val="pt-BR"/>
        </w:rPr>
      </w:pPr>
      <w:bookmarkStart w:id="29" w:name="_Toc228727143"/>
      <w:r w:rsidRPr="00930875">
        <w:rPr>
          <w:sz w:val="28"/>
          <w:szCs w:val="28"/>
          <w:lang w:val="pt-BR"/>
        </w:rPr>
        <w:t>5. Contribuição Esperada</w:t>
      </w:r>
      <w:bookmarkEnd w:id="29"/>
    </w:p>
    <w:p w14:paraId="40F190C5" w14:textId="55681899" w:rsidR="00930875" w:rsidRPr="00930875" w:rsidRDefault="00930875" w:rsidP="00930875">
      <w:p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Este trabalho apresenta contribuições nas dimensões acadêmica e aplicada, sintetizadas a seguir.</w:t>
      </w:r>
    </w:p>
    <w:p w14:paraId="0E4BA9A4" w14:textId="61330374" w:rsidR="00930875" w:rsidRPr="0076697C" w:rsidRDefault="003D7BA9" w:rsidP="0076697C">
      <w:pPr>
        <w:pStyle w:val="Heading2"/>
        <w:rPr>
          <w:sz w:val="24"/>
          <w:szCs w:val="24"/>
        </w:rPr>
      </w:pPr>
      <w:bookmarkStart w:id="30" w:name="_Toc228727144"/>
      <w:r w:rsidRPr="0076697C">
        <w:rPr>
          <w:sz w:val="24"/>
          <w:szCs w:val="24"/>
        </w:rPr>
        <w:t>5.</w:t>
      </w:r>
      <w:r w:rsidR="0076697C" w:rsidRPr="0076697C">
        <w:rPr>
          <w:sz w:val="24"/>
          <w:szCs w:val="24"/>
        </w:rPr>
        <w:t xml:space="preserve">1 </w:t>
      </w:r>
      <w:r w:rsidR="00930875" w:rsidRPr="0076697C">
        <w:rPr>
          <w:sz w:val="24"/>
          <w:szCs w:val="24"/>
        </w:rPr>
        <w:t>Contribuição Acadêmica:</w:t>
      </w:r>
      <w:bookmarkEnd w:id="30"/>
    </w:p>
    <w:p w14:paraId="07B7A46A" w14:textId="77777777" w:rsidR="00930875" w:rsidRP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Primeira investigação empírica sistemática do efeito da política monetária — medida pela taxa Selic e por seus ciclos identificados pelas atas do Copom — sobre o volume agregado de M&amp;A no Brasil, cobrindo um período de vinte anos (2005–2024) e incorporando quatro grandes ciclos de aperto monetário;</w:t>
      </w:r>
    </w:p>
    <w:p w14:paraId="2B2B33F3" w14:textId="77777777" w:rsidR="00930875" w:rsidRP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Extensão direta e explícita de Fischer e Horn (2023) ao contexto brasileiro, fornecendo evidências comparativas entre um mercado emergente com alta volatilidade monetária e o mercado americano — o mais estudado na literatura de M&amp;A e política monetária;</w:t>
      </w:r>
    </w:p>
    <w:p w14:paraId="3374C905" w14:textId="77777777" w:rsidR="00930875" w:rsidRP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Complementação do trabalho de Batista et al. (2022), que utilizou o IIE-Br como variável de interesse em um modelo VAR similar, mas não incorporou a Selic como fator explicativo independente. Este trabalho testa se os dois canais — incerteza e política monetária — são ortogonais ou sobrepostos no mercado brasileiro de M&amp;A;</w:t>
      </w:r>
    </w:p>
    <w:p w14:paraId="082B987E" w14:textId="569D4982" w:rsidR="00930875" w:rsidRP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Ampliação do horizonte temporal dos estudos de referência: Batista et al. (2022) cobriram 2010–2021; esta pesquisa estende a janela para 2005–2024, incorporando o ciclo de normalização pós-crise de 2008, o superciclo de queda da Selic de 2016–2020 e o ciclo de aperto de 2021–2023, ainda não estudados na literatura nacional.</w:t>
      </w:r>
    </w:p>
    <w:p w14:paraId="0B85DD83" w14:textId="358CC727" w:rsidR="00930875" w:rsidRPr="0076697C" w:rsidRDefault="0076697C" w:rsidP="0076697C">
      <w:pPr>
        <w:pStyle w:val="Heading2"/>
        <w:rPr>
          <w:sz w:val="24"/>
          <w:szCs w:val="24"/>
        </w:rPr>
      </w:pPr>
      <w:bookmarkStart w:id="31" w:name="_Toc228727145"/>
      <w:r w:rsidRPr="0076697C">
        <w:rPr>
          <w:sz w:val="24"/>
          <w:szCs w:val="24"/>
        </w:rPr>
        <w:t xml:space="preserve">5.2 </w:t>
      </w:r>
      <w:r w:rsidR="00930875" w:rsidRPr="0076697C">
        <w:rPr>
          <w:sz w:val="24"/>
          <w:szCs w:val="24"/>
        </w:rPr>
        <w:t>Contribuição Aplicada:</w:t>
      </w:r>
      <w:bookmarkEnd w:id="31"/>
    </w:p>
    <w:p w14:paraId="298FA5DC" w14:textId="77777777" w:rsidR="00930875" w:rsidRP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Fornecimento de evidências quantitativas sobre o timing do ciclo monetário como fator condicionante da atividade de M&amp;A no Brasil, com utilidade direta para gestores de Corporate Finance, bancos de investimento, fundos de Private Equity e reguladores que acompanham o mercado de controle corporativo;</w:t>
      </w:r>
    </w:p>
    <w:p w14:paraId="06DAB667" w14:textId="77777777" w:rsidR="00930875" w:rsidRP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lastRenderedPageBreak/>
        <w:t>Identificação da persistência temporal do efeito de um choque de política monetária sobre o volume de M&amp;A — informação relevante para o planejamento de carteiras de transações e para a janela de execução de processos de fusão e aquisição em função do ciclo da Selic;</w:t>
      </w:r>
    </w:p>
    <w:p w14:paraId="0F9439DB" w14:textId="77777777" w:rsidR="00930875" w:rsidRDefault="00930875" w:rsidP="00930875">
      <w:pPr>
        <w:numPr>
          <w:ilvl w:val="0"/>
          <w:numId w:val="10"/>
        </w:numPr>
        <w:jc w:val="both"/>
        <w:rPr>
          <w:sz w:val="22"/>
          <w:szCs w:val="22"/>
          <w:lang w:val="pt-BR"/>
        </w:rPr>
      </w:pPr>
      <w:r w:rsidRPr="00930875">
        <w:rPr>
          <w:sz w:val="22"/>
          <w:szCs w:val="22"/>
          <w:lang w:val="pt-BR"/>
        </w:rPr>
        <w:t>Subsídio para o debate de política pública sobre os efeitos colaterais do aperto monetário sobre a dinâmica de reorganização do capital produtivo no Brasil, com implicações para a eficiência alocativa da economia.</w:t>
      </w:r>
    </w:p>
    <w:p w14:paraId="437779AA" w14:textId="77777777" w:rsidR="000B20A1" w:rsidRPr="000B20A1" w:rsidRDefault="000B20A1" w:rsidP="000B20A1">
      <w:pPr>
        <w:pStyle w:val="Heading1"/>
        <w:rPr>
          <w:rFonts w:eastAsia="Arial"/>
          <w:sz w:val="28"/>
          <w:szCs w:val="28"/>
        </w:rPr>
      </w:pPr>
      <w:bookmarkStart w:id="32" w:name="_Toc228727146"/>
      <w:r w:rsidRPr="000B20A1">
        <w:rPr>
          <w:rFonts w:eastAsia="Arial"/>
          <w:sz w:val="28"/>
          <w:szCs w:val="28"/>
        </w:rPr>
        <w:t>6. Referências</w:t>
      </w:r>
      <w:bookmarkEnd w:id="32"/>
    </w:p>
    <w:p w14:paraId="6E833576" w14:textId="1856DF37" w:rsidR="006717E6" w:rsidRPr="006717E6" w:rsidRDefault="006717E6" w:rsidP="006717E6">
      <w:pPr>
        <w:jc w:val="both"/>
        <w:rPr>
          <w:sz w:val="22"/>
          <w:szCs w:val="22"/>
        </w:rPr>
      </w:pPr>
      <w:r w:rsidRPr="006717E6">
        <w:rPr>
          <w:sz w:val="22"/>
          <w:szCs w:val="22"/>
        </w:rPr>
        <w:t>FISCHER, J. J.; HORN, C.-W. Monetary policy and mergers and acquisitions. Working Paper, Bank of England / European University Institute, 2023.</w:t>
      </w:r>
    </w:p>
    <w:p w14:paraId="38875FBE" w14:textId="3AA6E954" w:rsidR="000B20A1" w:rsidRPr="006717E6" w:rsidRDefault="006717E6" w:rsidP="006717E6">
      <w:pPr>
        <w:jc w:val="both"/>
        <w:rPr>
          <w:sz w:val="22"/>
          <w:szCs w:val="22"/>
        </w:rPr>
      </w:pPr>
      <w:r w:rsidRPr="006717E6">
        <w:rPr>
          <w:sz w:val="22"/>
          <w:szCs w:val="22"/>
        </w:rPr>
        <w:t>GRANGER, C. W. J. Investigating causal relations by econometric models and cross-spectral methods. Econometrica, v. 37, n. 3, p. 424–438, 1969</w:t>
      </w:r>
    </w:p>
    <w:p w14:paraId="1ABE34C5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799B125E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5B8E8D7B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6DEBE695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448C9E26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3627BD66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7FF94451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6C8E2B5E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3E15C0B8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049E3F2D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48F8DD82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29C47D54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53A4E1FC" w14:textId="77777777" w:rsidR="00F1025F" w:rsidRPr="006717E6" w:rsidRDefault="00F1025F" w:rsidP="00F66CAE">
      <w:pPr>
        <w:jc w:val="both"/>
        <w:rPr>
          <w:sz w:val="22"/>
          <w:szCs w:val="22"/>
        </w:rPr>
      </w:pPr>
    </w:p>
    <w:p w14:paraId="7E51EE35" w14:textId="77777777" w:rsidR="000F186A" w:rsidRPr="00D06A66" w:rsidRDefault="000F186A" w:rsidP="00B4302B">
      <w:pPr>
        <w:rPr>
          <w:rFonts w:ascii="Times New Roman" w:hAnsi="Times New Roman" w:cs="Times New Roman"/>
          <w:b/>
          <w:bCs/>
          <w:lang w:val="pt-BR"/>
        </w:rPr>
      </w:pPr>
    </w:p>
    <w:p w14:paraId="07134EF3" w14:textId="77777777" w:rsidR="00C255AA" w:rsidRPr="00D06A66" w:rsidRDefault="00C255AA" w:rsidP="00E5326B">
      <w:pPr>
        <w:rPr>
          <w:rFonts w:ascii="Times New Roman" w:hAnsi="Times New Roman" w:cs="Times New Roman"/>
          <w:b/>
          <w:bCs/>
          <w:lang w:val="pt-BR"/>
        </w:rPr>
      </w:pPr>
    </w:p>
    <w:p w14:paraId="0AC88703" w14:textId="77777777" w:rsidR="00C255AA" w:rsidRPr="00D06A66" w:rsidRDefault="00C255AA" w:rsidP="00C255AA">
      <w:pPr>
        <w:jc w:val="center"/>
        <w:rPr>
          <w:rFonts w:ascii="Times New Roman" w:hAnsi="Times New Roman" w:cs="Times New Roman"/>
          <w:b/>
          <w:bCs/>
          <w:lang w:val="pt-BR"/>
        </w:rPr>
      </w:pPr>
    </w:p>
    <w:p w14:paraId="49F0438C" w14:textId="77777777" w:rsidR="00C255AA" w:rsidRPr="00C255AA" w:rsidRDefault="00C255AA" w:rsidP="00C255AA">
      <w:pPr>
        <w:jc w:val="center"/>
        <w:rPr>
          <w:rFonts w:ascii="Times New Roman" w:hAnsi="Times New Roman" w:cs="Times New Roman"/>
          <w:lang w:val="pt-BR"/>
        </w:rPr>
      </w:pPr>
      <w:r w:rsidRPr="00C255AA">
        <w:rPr>
          <w:rFonts w:ascii="Times New Roman" w:hAnsi="Times New Roman" w:cs="Times New Roman"/>
          <w:lang w:val="pt-BR"/>
        </w:rPr>
        <w:t>Brasília/DF</w:t>
      </w:r>
    </w:p>
    <w:p w14:paraId="1F155780" w14:textId="50566865" w:rsidR="00C71D70" w:rsidRPr="00AA18A0" w:rsidRDefault="00AA18A0" w:rsidP="00644D5E">
      <w:pPr>
        <w:jc w:val="center"/>
        <w:rPr>
          <w:rFonts w:ascii="Times New Roman" w:hAnsi="Times New Roman" w:cs="Times New Roman"/>
          <w:lang w:val="pt-BR"/>
        </w:rPr>
      </w:pPr>
      <w:r w:rsidRPr="00AA18A0">
        <w:rPr>
          <w:rFonts w:ascii="Times New Roman" w:hAnsi="Times New Roman" w:cs="Times New Roman"/>
          <w:lang w:val="pt-BR"/>
        </w:rPr>
        <w:t>2026</w:t>
      </w:r>
    </w:p>
    <w:sectPr w:rsidR="00C71D70" w:rsidRPr="00AA18A0" w:rsidSect="00D43EC7"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8471" w14:textId="77777777" w:rsidR="007E09D6" w:rsidRDefault="007E09D6" w:rsidP="00B44354">
      <w:pPr>
        <w:spacing w:after="0" w:line="240" w:lineRule="auto"/>
      </w:pPr>
      <w:r>
        <w:separator/>
      </w:r>
    </w:p>
  </w:endnote>
  <w:endnote w:type="continuationSeparator" w:id="0">
    <w:p w14:paraId="37F97E5B" w14:textId="77777777" w:rsidR="007E09D6" w:rsidRDefault="007E09D6" w:rsidP="00B4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0507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9EC3ED" w14:textId="73D101B2" w:rsidR="00B44354" w:rsidRDefault="00B443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152F27" w14:textId="2272366D" w:rsidR="00B44354" w:rsidRDefault="00B44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A90F8" w14:textId="77777777" w:rsidR="007E09D6" w:rsidRDefault="007E09D6" w:rsidP="00B44354">
      <w:pPr>
        <w:spacing w:after="0" w:line="240" w:lineRule="auto"/>
      </w:pPr>
      <w:r>
        <w:separator/>
      </w:r>
    </w:p>
  </w:footnote>
  <w:footnote w:type="continuationSeparator" w:id="0">
    <w:p w14:paraId="5B2CF311" w14:textId="77777777" w:rsidR="007E09D6" w:rsidRDefault="007E09D6" w:rsidP="00B44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CD8"/>
    <w:multiLevelType w:val="hybridMultilevel"/>
    <w:tmpl w:val="EC66C6D0"/>
    <w:lvl w:ilvl="0" w:tplc="9238D258">
      <w:start w:val="1"/>
      <w:numFmt w:val="bullet"/>
      <w:lvlText w:val="•"/>
      <w:lvlJc w:val="left"/>
      <w:pPr>
        <w:ind w:left="720" w:hanging="360"/>
      </w:pPr>
    </w:lvl>
    <w:lvl w:ilvl="1" w:tplc="15D0140C">
      <w:numFmt w:val="decimal"/>
      <w:lvlText w:val=""/>
      <w:lvlJc w:val="left"/>
      <w:pPr>
        <w:ind w:left="0" w:firstLine="0"/>
      </w:pPr>
    </w:lvl>
    <w:lvl w:ilvl="2" w:tplc="868048E4">
      <w:numFmt w:val="decimal"/>
      <w:lvlText w:val=""/>
      <w:lvlJc w:val="left"/>
      <w:pPr>
        <w:ind w:left="0" w:firstLine="0"/>
      </w:pPr>
    </w:lvl>
    <w:lvl w:ilvl="3" w:tplc="A8381C9C">
      <w:numFmt w:val="decimal"/>
      <w:lvlText w:val=""/>
      <w:lvlJc w:val="left"/>
      <w:pPr>
        <w:ind w:left="0" w:firstLine="0"/>
      </w:pPr>
    </w:lvl>
    <w:lvl w:ilvl="4" w:tplc="0FC0B164">
      <w:numFmt w:val="decimal"/>
      <w:lvlText w:val=""/>
      <w:lvlJc w:val="left"/>
      <w:pPr>
        <w:ind w:left="0" w:firstLine="0"/>
      </w:pPr>
    </w:lvl>
    <w:lvl w:ilvl="5" w:tplc="E99C8C1A">
      <w:numFmt w:val="decimal"/>
      <w:lvlText w:val=""/>
      <w:lvlJc w:val="left"/>
      <w:pPr>
        <w:ind w:left="0" w:firstLine="0"/>
      </w:pPr>
    </w:lvl>
    <w:lvl w:ilvl="6" w:tplc="485C732A">
      <w:numFmt w:val="decimal"/>
      <w:lvlText w:val=""/>
      <w:lvlJc w:val="left"/>
      <w:pPr>
        <w:ind w:left="0" w:firstLine="0"/>
      </w:pPr>
    </w:lvl>
    <w:lvl w:ilvl="7" w:tplc="A59E254E">
      <w:numFmt w:val="decimal"/>
      <w:lvlText w:val=""/>
      <w:lvlJc w:val="left"/>
      <w:pPr>
        <w:ind w:left="0" w:firstLine="0"/>
      </w:pPr>
    </w:lvl>
    <w:lvl w:ilvl="8" w:tplc="717079C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111A72"/>
    <w:multiLevelType w:val="multilevel"/>
    <w:tmpl w:val="666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63223"/>
    <w:multiLevelType w:val="multilevel"/>
    <w:tmpl w:val="338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11570"/>
    <w:multiLevelType w:val="hybridMultilevel"/>
    <w:tmpl w:val="46D249B8"/>
    <w:lvl w:ilvl="0" w:tplc="8D74379A">
      <w:start w:val="1"/>
      <w:numFmt w:val="decimal"/>
      <w:lvlText w:val="%1."/>
      <w:lvlJc w:val="left"/>
      <w:pPr>
        <w:ind w:left="720" w:hanging="360"/>
      </w:pPr>
    </w:lvl>
    <w:lvl w:ilvl="1" w:tplc="A0AA0480">
      <w:numFmt w:val="decimal"/>
      <w:lvlText w:val=""/>
      <w:lvlJc w:val="left"/>
      <w:pPr>
        <w:ind w:left="0" w:firstLine="0"/>
      </w:pPr>
    </w:lvl>
    <w:lvl w:ilvl="2" w:tplc="20109220">
      <w:numFmt w:val="decimal"/>
      <w:lvlText w:val=""/>
      <w:lvlJc w:val="left"/>
      <w:pPr>
        <w:ind w:left="0" w:firstLine="0"/>
      </w:pPr>
    </w:lvl>
    <w:lvl w:ilvl="3" w:tplc="58008E44">
      <w:numFmt w:val="decimal"/>
      <w:lvlText w:val=""/>
      <w:lvlJc w:val="left"/>
      <w:pPr>
        <w:ind w:left="0" w:firstLine="0"/>
      </w:pPr>
    </w:lvl>
    <w:lvl w:ilvl="4" w:tplc="44529212">
      <w:numFmt w:val="decimal"/>
      <w:lvlText w:val=""/>
      <w:lvlJc w:val="left"/>
      <w:pPr>
        <w:ind w:left="0" w:firstLine="0"/>
      </w:pPr>
    </w:lvl>
    <w:lvl w:ilvl="5" w:tplc="34783CB4">
      <w:numFmt w:val="decimal"/>
      <w:lvlText w:val=""/>
      <w:lvlJc w:val="left"/>
      <w:pPr>
        <w:ind w:left="0" w:firstLine="0"/>
      </w:pPr>
    </w:lvl>
    <w:lvl w:ilvl="6" w:tplc="182A8BB0">
      <w:numFmt w:val="decimal"/>
      <w:lvlText w:val=""/>
      <w:lvlJc w:val="left"/>
      <w:pPr>
        <w:ind w:left="0" w:firstLine="0"/>
      </w:pPr>
    </w:lvl>
    <w:lvl w:ilvl="7" w:tplc="6072820A">
      <w:numFmt w:val="decimal"/>
      <w:lvlText w:val=""/>
      <w:lvlJc w:val="left"/>
      <w:pPr>
        <w:ind w:left="0" w:firstLine="0"/>
      </w:pPr>
    </w:lvl>
    <w:lvl w:ilvl="8" w:tplc="2818791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FE6259E"/>
    <w:multiLevelType w:val="multilevel"/>
    <w:tmpl w:val="A83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06569"/>
    <w:multiLevelType w:val="hybridMultilevel"/>
    <w:tmpl w:val="848A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A38C9"/>
    <w:multiLevelType w:val="multilevel"/>
    <w:tmpl w:val="508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33A95"/>
    <w:multiLevelType w:val="multilevel"/>
    <w:tmpl w:val="2B9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15A44"/>
    <w:multiLevelType w:val="hybridMultilevel"/>
    <w:tmpl w:val="8BA84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8668C"/>
    <w:multiLevelType w:val="multilevel"/>
    <w:tmpl w:val="BE8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D31CC"/>
    <w:multiLevelType w:val="multilevel"/>
    <w:tmpl w:val="404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34062">
    <w:abstractNumId w:val="9"/>
  </w:num>
  <w:num w:numId="2" w16cid:durableId="209466095">
    <w:abstractNumId w:val="10"/>
  </w:num>
  <w:num w:numId="3" w16cid:durableId="633677924">
    <w:abstractNumId w:val="4"/>
  </w:num>
  <w:num w:numId="4" w16cid:durableId="716396888">
    <w:abstractNumId w:val="8"/>
  </w:num>
  <w:num w:numId="5" w16cid:durableId="1956791755">
    <w:abstractNumId w:val="5"/>
  </w:num>
  <w:num w:numId="6" w16cid:durableId="554047222">
    <w:abstractNumId w:val="6"/>
  </w:num>
  <w:num w:numId="7" w16cid:durableId="1278216217">
    <w:abstractNumId w:val="1"/>
  </w:num>
  <w:num w:numId="8" w16cid:durableId="1582714555">
    <w:abstractNumId w:val="7"/>
  </w:num>
  <w:num w:numId="9" w16cid:durableId="1972706411">
    <w:abstractNumId w:val="2"/>
  </w:num>
  <w:num w:numId="10" w16cid:durableId="1481456753">
    <w:abstractNumId w:val="0"/>
  </w:num>
  <w:num w:numId="11" w16cid:durableId="137273158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89"/>
    <w:rsid w:val="00016747"/>
    <w:rsid w:val="000311F0"/>
    <w:rsid w:val="000523BA"/>
    <w:rsid w:val="00064FAC"/>
    <w:rsid w:val="000B20A1"/>
    <w:rsid w:val="000F186A"/>
    <w:rsid w:val="0010394E"/>
    <w:rsid w:val="00104365"/>
    <w:rsid w:val="00106490"/>
    <w:rsid w:val="00140E30"/>
    <w:rsid w:val="00146A64"/>
    <w:rsid w:val="001746F9"/>
    <w:rsid w:val="001814B4"/>
    <w:rsid w:val="001A46D5"/>
    <w:rsid w:val="001C1320"/>
    <w:rsid w:val="001D1ABD"/>
    <w:rsid w:val="001D4C86"/>
    <w:rsid w:val="001D7793"/>
    <w:rsid w:val="001F2D33"/>
    <w:rsid w:val="0022265D"/>
    <w:rsid w:val="002271FF"/>
    <w:rsid w:val="002278AB"/>
    <w:rsid w:val="00232735"/>
    <w:rsid w:val="002622D3"/>
    <w:rsid w:val="002776AB"/>
    <w:rsid w:val="002B4EDE"/>
    <w:rsid w:val="002C53AA"/>
    <w:rsid w:val="002D502B"/>
    <w:rsid w:val="002D6FA5"/>
    <w:rsid w:val="00333203"/>
    <w:rsid w:val="00344F43"/>
    <w:rsid w:val="00346FD9"/>
    <w:rsid w:val="00363ED9"/>
    <w:rsid w:val="003773BC"/>
    <w:rsid w:val="0038612B"/>
    <w:rsid w:val="00396604"/>
    <w:rsid w:val="003B2126"/>
    <w:rsid w:val="003C247B"/>
    <w:rsid w:val="003D7BA9"/>
    <w:rsid w:val="0042238F"/>
    <w:rsid w:val="00447C84"/>
    <w:rsid w:val="00463571"/>
    <w:rsid w:val="004741EE"/>
    <w:rsid w:val="004E51BF"/>
    <w:rsid w:val="004E697D"/>
    <w:rsid w:val="00553EA8"/>
    <w:rsid w:val="00554B89"/>
    <w:rsid w:val="006237CF"/>
    <w:rsid w:val="00626DB5"/>
    <w:rsid w:val="00637D22"/>
    <w:rsid w:val="00644D5E"/>
    <w:rsid w:val="006717E6"/>
    <w:rsid w:val="00674AAF"/>
    <w:rsid w:val="006B64DC"/>
    <w:rsid w:val="006D3529"/>
    <w:rsid w:val="006F6C51"/>
    <w:rsid w:val="00736D18"/>
    <w:rsid w:val="0076697C"/>
    <w:rsid w:val="00782A4D"/>
    <w:rsid w:val="007A26A3"/>
    <w:rsid w:val="007A7E82"/>
    <w:rsid w:val="007E09D6"/>
    <w:rsid w:val="00807617"/>
    <w:rsid w:val="00811B43"/>
    <w:rsid w:val="00836C66"/>
    <w:rsid w:val="008371EF"/>
    <w:rsid w:val="008657A7"/>
    <w:rsid w:val="00875A18"/>
    <w:rsid w:val="00876BA8"/>
    <w:rsid w:val="008D19AF"/>
    <w:rsid w:val="008E6B12"/>
    <w:rsid w:val="00930875"/>
    <w:rsid w:val="00934B1B"/>
    <w:rsid w:val="009467A2"/>
    <w:rsid w:val="00946B10"/>
    <w:rsid w:val="00963A3D"/>
    <w:rsid w:val="00967E60"/>
    <w:rsid w:val="0098640F"/>
    <w:rsid w:val="009B5B17"/>
    <w:rsid w:val="009C52C3"/>
    <w:rsid w:val="009E4114"/>
    <w:rsid w:val="009E6858"/>
    <w:rsid w:val="009F786F"/>
    <w:rsid w:val="00A45812"/>
    <w:rsid w:val="00A5257B"/>
    <w:rsid w:val="00A57498"/>
    <w:rsid w:val="00AA18A0"/>
    <w:rsid w:val="00AD4BB0"/>
    <w:rsid w:val="00B06FE4"/>
    <w:rsid w:val="00B32C58"/>
    <w:rsid w:val="00B4302B"/>
    <w:rsid w:val="00B44333"/>
    <w:rsid w:val="00B44354"/>
    <w:rsid w:val="00B5174A"/>
    <w:rsid w:val="00B6611C"/>
    <w:rsid w:val="00B777AD"/>
    <w:rsid w:val="00B90377"/>
    <w:rsid w:val="00BA6A07"/>
    <w:rsid w:val="00BB1DDA"/>
    <w:rsid w:val="00C106BE"/>
    <w:rsid w:val="00C255AA"/>
    <w:rsid w:val="00C30224"/>
    <w:rsid w:val="00C71D70"/>
    <w:rsid w:val="00C95389"/>
    <w:rsid w:val="00D06A66"/>
    <w:rsid w:val="00D10EAF"/>
    <w:rsid w:val="00D1383A"/>
    <w:rsid w:val="00D43EC7"/>
    <w:rsid w:val="00D4417C"/>
    <w:rsid w:val="00D540A9"/>
    <w:rsid w:val="00D55FC9"/>
    <w:rsid w:val="00D65FF7"/>
    <w:rsid w:val="00D66EC4"/>
    <w:rsid w:val="00D963D6"/>
    <w:rsid w:val="00DB61AB"/>
    <w:rsid w:val="00DC2D49"/>
    <w:rsid w:val="00DC3346"/>
    <w:rsid w:val="00DE722B"/>
    <w:rsid w:val="00DF060F"/>
    <w:rsid w:val="00E04F25"/>
    <w:rsid w:val="00E1194A"/>
    <w:rsid w:val="00E22673"/>
    <w:rsid w:val="00E35D61"/>
    <w:rsid w:val="00E36F99"/>
    <w:rsid w:val="00E511F1"/>
    <w:rsid w:val="00E5326B"/>
    <w:rsid w:val="00E67A77"/>
    <w:rsid w:val="00E71B3D"/>
    <w:rsid w:val="00EB3D34"/>
    <w:rsid w:val="00ED3DC8"/>
    <w:rsid w:val="00ED560B"/>
    <w:rsid w:val="00EE1271"/>
    <w:rsid w:val="00F1025F"/>
    <w:rsid w:val="00F27142"/>
    <w:rsid w:val="00F33E1F"/>
    <w:rsid w:val="00F406F6"/>
    <w:rsid w:val="00F45467"/>
    <w:rsid w:val="00F66CAE"/>
    <w:rsid w:val="00FA5611"/>
    <w:rsid w:val="00FB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AE2DD"/>
  <w15:chartTrackingRefBased/>
  <w15:docId w15:val="{56BF632E-6C6F-4AE1-8FCF-7A48402F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8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43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354"/>
  </w:style>
  <w:style w:type="paragraph" w:styleId="Footer">
    <w:name w:val="footer"/>
    <w:basedOn w:val="Normal"/>
    <w:link w:val="FooterChar"/>
    <w:uiPriority w:val="99"/>
    <w:unhideWhenUsed/>
    <w:rsid w:val="00B443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354"/>
  </w:style>
  <w:style w:type="paragraph" w:styleId="TOCHeading">
    <w:name w:val="TOC Heading"/>
    <w:basedOn w:val="Heading1"/>
    <w:next w:val="Normal"/>
    <w:uiPriority w:val="39"/>
    <w:unhideWhenUsed/>
    <w:qFormat/>
    <w:rsid w:val="00A4581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626DB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8D19AF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1D77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779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D779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D77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7F6A2-68AC-4863-8B13-7DDD7CE5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12</Pages>
  <Words>4084</Words>
  <Characters>23285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menezes</dc:creator>
  <cp:keywords/>
  <dc:description/>
  <cp:lastModifiedBy>alexandre menezes</cp:lastModifiedBy>
  <cp:revision>117</cp:revision>
  <dcterms:created xsi:type="dcterms:W3CDTF">2026-04-08T01:20:00Z</dcterms:created>
  <dcterms:modified xsi:type="dcterms:W3CDTF">2026-06-03T23:43:00Z</dcterms:modified>
</cp:coreProperties>
</file>