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introduçã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Este capitulo deve apresentar o tema, a pergunta de pesquisa, a relevancia do estudo e a organizacao do trabalho.</w:t>
      </w:r>
    </w:p>
    <w:bookmarkStart w:id="9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A volatilidade dos preços de ativos financeiros é uma das variáveis mais relevantes em</w:t>
      </w:r>
      <w:r>
        <w:t xml:space="preserve"> </w:t>
      </w:r>
      <w:r>
        <w:t xml:space="preserve">finanças quantitativas. Ela representa a dispersão dos retornos de um ativo ao longo do tempo</w:t>
      </w:r>
      <w:r>
        <w:t xml:space="preserve"> </w:t>
      </w:r>
      <w:r>
        <w:t xml:space="preserve">e serve como insumo central para uma ampla quantidade de aplicações práticas, como o cálculo</w:t>
      </w:r>
      <w:r>
        <w:t xml:space="preserve"> </w:t>
      </w:r>
      <w:r>
        <w:t xml:space="preserve">do Value at Risk (VaR) e do Expected Shortfall (ES), medidas utilizadas por bancos e gestoras</w:t>
      </w:r>
      <w:r>
        <w:t xml:space="preserve"> </w:t>
      </w:r>
      <w:r>
        <w:t xml:space="preserve">de recursos para dimensionamento de reservas de capital, depende diretamente de estimativas</w:t>
      </w:r>
      <w:r>
        <w:t xml:space="preserve"> </w:t>
      </w:r>
      <w:r>
        <w:t xml:space="preserve">precisas da volatilidade. Da mesma forma, a precificação de opções e demais derivativos financeiros,</w:t>
      </w:r>
      <w:r>
        <w:t xml:space="preserve"> </w:t>
      </w:r>
      <w:r>
        <w:t xml:space="preserve">fundamentada no modelo pioneiro de Black e Scholes (1973), e as estratégias de alocação de portfólio</w:t>
      </w:r>
      <w:r>
        <w:t xml:space="preserve"> </w:t>
      </w:r>
      <w:r>
        <w:t xml:space="preserve">baseadas em controle de risco (volatility targeting) são diretamente sensíveis à qualidade dessas</w:t>
      </w:r>
      <w:r>
        <w:t xml:space="preserve"> </w:t>
      </w:r>
      <w:r>
        <w:t xml:space="preserve">estimativas. No âmbito regulatório, o Acordo de Basileia III, estabelecido pelo Bank for International</w:t>
      </w:r>
      <w:r>
        <w:t xml:space="preserve"> </w:t>
      </w:r>
      <w:r>
        <w:t xml:space="preserve">Settlements (BIS, 2019), vigente internacionalmente, exige que instituições financeiras utilizem</w:t>
      </w:r>
      <w:r>
        <w:t xml:space="preserve"> </w:t>
      </w:r>
      <w:r>
        <w:t xml:space="preserve">o Expected Shortfall como métrica de risco de mercado, reforçando a importância de modelos de previsão de</w:t>
      </w:r>
      <w:r>
        <w:t xml:space="preserve"> </w:t>
      </w:r>
      <w:r>
        <w:t xml:space="preserve">volatilidade robustos.</w:t>
      </w:r>
    </w:p>
    <w:p>
      <w:pPr>
        <w:pStyle w:val="BodyText"/>
      </w:pPr>
      <w:r>
        <w:t xml:space="preserve">Entretanto, séries de retornos financeiros apresentam características que dificultam a modelagem</w:t>
      </w:r>
      <w:r>
        <w:t xml:space="preserve"> </w:t>
      </w:r>
      <w:r>
        <w:t xml:space="preserve">estatística convencional, incluindo heterocedasticidade condicional, clustering de volatilidade, distribuições com caudas pesadas</w:t>
      </w:r>
      <w:r>
        <w:t xml:space="preserve"> </w:t>
      </w:r>
      <w:r>
        <w:t xml:space="preserve">e evidências de assimetria na resposta da volatilidade a choques de mercado (Fama, 1965; Akgiray, 1989). Essas propriedades motivaram</w:t>
      </w:r>
      <w:r>
        <w:t xml:space="preserve"> </w:t>
      </w:r>
      <w:r>
        <w:t xml:space="preserve">o desenvolvimento de duas abordagens distintas para a previsão de volatilidade. A primeira, denominada model-based, fundamenta-se em estruturas</w:t>
      </w:r>
      <w:r>
        <w:t xml:space="preserve"> </w:t>
      </w:r>
      <w:r>
        <w:t xml:space="preserve">paramétricas previamente especificadas que impõem ao processo gerador de dados uma forma funcional interpretável. A segunda, denominada data-driven,</w:t>
      </w:r>
      <w:r>
        <w:t xml:space="preserve"> </w:t>
      </w:r>
      <w:r>
        <w:t xml:space="preserve">opera sem pressupostos distribicionais rígidos e aprende os padrões diretamente da amostra. A comparação entre esses dois paradigmas constitui o</w:t>
      </w:r>
      <w:r>
        <w:t xml:space="preserve"> </w:t>
      </w:r>
      <w:r>
        <w:t xml:space="preserve">objeto central deste trabalho.</w:t>
      </w:r>
    </w:p>
    <w:p>
      <w:pPr>
        <w:pStyle w:val="BodyText"/>
      </w:pPr>
      <w:r>
        <w:t xml:space="preserve">No paradigma model-based, a família de modelos GARCH (Generalized Autoregressive Conditional Heteroskedasticity), introduzida por Engle (1982) e generalizada</w:t>
      </w:r>
      <w:r>
        <w:t xml:space="preserve"> </w:t>
      </w:r>
      <w:r>
        <w:t xml:space="preserve">por Bollerslev (1986), se consolidou como referência acadêmica e prática ao capturar a persistência e o agrupamento da volatilidade por meio de</w:t>
      </w:r>
      <w:r>
        <w:t xml:space="preserve"> </w:t>
      </w:r>
      <w:r>
        <w:t xml:space="preserve">uma equação paramétrica para a variância condicional. Além disso, extensões como o EGARCH (Nelson, 1991) incorporam o efeito alavancagem, em que choques</w:t>
      </w:r>
      <w:r>
        <w:t xml:space="preserve"> </w:t>
      </w:r>
      <w:r>
        <w:t xml:space="preserve">negativos tendem a elevar a volatilidade de forma assimétrica em relação a choques positivos de mesma magnitude. Em comum, esses modelos oferecem interpretabilidade</w:t>
      </w:r>
      <w:r>
        <w:t xml:space="preserve"> </w:t>
      </w:r>
      <w:r>
        <w:t xml:space="preserve">e robustez estatística, mas, por construção, modelam a variância condicional de forma linear, o que pode limitar sua capacidade de capturar dinâmicas não lineares complexas,</w:t>
      </w:r>
      <w:r>
        <w:t xml:space="preserve"> </w:t>
      </w:r>
      <w:r>
        <w:t xml:space="preserve">especialmente em períodos de estresse.</w:t>
      </w:r>
    </w:p>
    <w:p>
      <w:pPr>
        <w:pStyle w:val="BodyText"/>
      </w:pPr>
      <w:r>
        <w:t xml:space="preserve">Em contraposição, o avanço dos algoritmos de machine learning nas últimas décadas, em particular os métodos de ensemble baseados em árvores de decisão como Random Forest e</w:t>
      </w:r>
      <w:r>
        <w:t xml:space="preserve"> </w:t>
      </w:r>
      <w:r>
        <w:t xml:space="preserve">XGBoost (Gradient Boosting), abriu a possibilidade de abordagens orientadas a dados com maior flexibilidade para identificar padrões não lineares. Esses modelos não impõem</w:t>
      </w:r>
      <w:r>
        <w:t xml:space="preserve"> </w:t>
      </w:r>
      <w:r>
        <w:t xml:space="preserve">estrutura funcional ao processo gerador de dados, ajustando-se diretamente às relações empíricas observadas na amostra de treinamento. A questão central que emerge não é</w:t>
      </w:r>
      <w:r>
        <w:t xml:space="preserve"> </w:t>
      </w:r>
      <w:r>
        <w:t xml:space="preserve">simplesmente qual modelo é superior, mas sob quais condições cada paradigma apresenta vantagem preditiva, e quais são os ganhos e perdas associados à troca de interpretabilidade</w:t>
      </w:r>
      <w:r>
        <w:t xml:space="preserve"> </w:t>
      </w:r>
      <w:r>
        <w:t xml:space="preserve">por flexibilidade.</w:t>
      </w:r>
    </w:p>
    <w:p>
      <w:pPr>
        <w:pStyle w:val="BodyText"/>
      </w:pPr>
      <w:r>
        <w:t xml:space="preserve">Nesse contexto, a taxa de câmbio USD/BRL constitui um objeto de análise particularmente relevante. O real brasileiro opera sob regime de câmbio flutuante desde 1999 e está sujeito</w:t>
      </w:r>
      <w:r>
        <w:t xml:space="preserve"> </w:t>
      </w:r>
      <w:r>
        <w:t xml:space="preserve">a uma combinação de fatores externos, como variações na política monetária americana e ciclos de aversão ao risco global, e fatores idiossincráticos domésticos, incluindo incerteza</w:t>
      </w:r>
      <w:r>
        <w:t xml:space="preserve"> </w:t>
      </w:r>
      <w:r>
        <w:t xml:space="preserve">fiscal e instabilidade política (Banco Central do Brasil, 2021). Como resultado, a volatilidade cambial brasileira é um fenômeno de natureza heterogênea e recorrentemente não linear,</w:t>
      </w:r>
      <w:r>
        <w:t xml:space="preserve"> </w:t>
      </w:r>
      <w:r>
        <w:t xml:space="preserve">com episódios de elevada instabilidade que testam os limites de modelos paramétricos tradicionais. Adicionalmente, ao contrário do mercado acionário, não existe na literatura um modelo</w:t>
      </w:r>
      <w:r>
        <w:t xml:space="preserve"> </w:t>
      </w:r>
      <w:r>
        <w:t xml:space="preserve">estrutural consagrado para explicar a volatilidade cambial, o que torna a comparação entre paradigmas de previsão especialmente pertinente e empiricamente aberta</w:t>
      </w:r>
      <w:r>
        <w:t xml:space="preserve"> </w:t>
      </w:r>
      <w:r>
        <w:t xml:space="preserve">(Banco Central do Brasil, 2021; Campani e Durães, 2018).</w:t>
      </w:r>
    </w:p>
    <w:bookmarkEnd w:id="9"/>
    <w:bookmarkStart w:id="10" w:name="pergunta-de-pesquisa"/>
    <w:p>
      <w:pPr>
        <w:pStyle w:val="Heading2"/>
      </w:pPr>
      <w:r>
        <w:t xml:space="preserve">Pergunta de pesquisa</w:t>
      </w:r>
    </w:p>
    <w:p>
      <w:pPr>
        <w:pStyle w:val="FirstParagraph"/>
      </w:pPr>
      <w:r>
        <w:t xml:space="preserve">Abordagens data-driven (Random Forest e XGBoost) apresentam desempenho preditivo superior às abordagens model-based (Média Histórica, EWMA, ARIMA e GARCH/EGARCH) na previsão da volatilidade diária da taxa de câmbio USD/BRL?</w:t>
      </w:r>
    </w:p>
    <w:bookmarkEnd w:id="10"/>
    <w:bookmarkStart w:id="13" w:name="objetivos"/>
    <w:p>
      <w:pPr>
        <w:pStyle w:val="Heading2"/>
      </w:pPr>
      <w:r>
        <w:t xml:space="preserve">Objetivos</w:t>
      </w:r>
    </w:p>
    <w:bookmarkStart w:id="11" w:name="objetivo-geral"/>
    <w:p>
      <w:pPr>
        <w:pStyle w:val="Heading3"/>
      </w:pPr>
      <w:r>
        <w:t xml:space="preserve">Objetivo Geral</w:t>
      </w:r>
    </w:p>
    <w:p>
      <w:pPr>
        <w:pStyle w:val="FirstParagraph"/>
      </w:pPr>
      <w:r>
        <w:t xml:space="preserve">O objetivo deste estudo é comparar o desempenho preditivo de abordagens model-based (Média Histórica, EWMA, ARIMA e GARCH/EGARCH) e data-driven (Random Forest e XGBoost) na previsão da volatilidade diária da taxa de câmbio USD/BRL, avaliando em que condições cada paradigma apresenta maior acurácia fora da amostra.</w:t>
      </w:r>
    </w:p>
    <w:bookmarkEnd w:id="11"/>
    <w:bookmarkStart w:id="12" w:name="objetivos-específicos"/>
    <w:p>
      <w:pPr>
        <w:pStyle w:val="Heading3"/>
      </w:pPr>
      <w:r>
        <w:t xml:space="preserve">Objetivos Específicos</w:t>
      </w:r>
    </w:p>
    <w:p>
      <w:pPr>
        <w:pStyle w:val="FirstParagraph"/>
      </w:pPr>
      <w:r>
        <w:t xml:space="preserve">Para alcançar o objetivo geral, definem-se os seguintes passos:</w:t>
      </w:r>
    </w:p>
    <w:p>
      <w:pPr>
        <w:numPr>
          <w:ilvl w:val="0"/>
          <w:numId w:val="1001"/>
        </w:numPr>
      </w:pPr>
      <w:r>
        <w:t xml:space="preserve">Estimar modelos de referência ingênuos (Média Histórica e EWMA) como piso de comparação;</w:t>
      </w:r>
    </w:p>
    <w:p>
      <w:pPr>
        <w:numPr>
          <w:ilvl w:val="0"/>
          <w:numId w:val="1001"/>
        </w:numPr>
      </w:pPr>
      <w:r>
        <w:t xml:space="preserve">Estimar um modelo ARIMA aplicado à série de volatilidade proxy (retornos quadrados) como benchmark de estrutura linear;</w:t>
      </w:r>
    </w:p>
    <w:p>
      <w:pPr>
        <w:numPr>
          <w:ilvl w:val="0"/>
          <w:numId w:val="1001"/>
        </w:numPr>
      </w:pPr>
      <w:r>
        <w:t xml:space="preserve">Estimar modelos GARCH(1,1) e EGARCH(1,1) sobre a série de retornos do USD/BRL e obter previsões de volatilidade fora da amostra;</w:t>
      </w:r>
    </w:p>
    <w:p>
      <w:pPr>
        <w:numPr>
          <w:ilvl w:val="0"/>
          <w:numId w:val="1001"/>
        </w:numPr>
      </w:pPr>
      <w:r>
        <w:t xml:space="preserve">Treinar e calibrar modelos data-driven (Random Forest e XGBoost) com engenharia de features baseada em retornos defasados, proxies de volatilidade e indicadores de mercado;</w:t>
      </w:r>
    </w:p>
    <w:p>
      <w:pPr>
        <w:numPr>
          <w:ilvl w:val="0"/>
          <w:numId w:val="1001"/>
        </w:numPr>
      </w:pPr>
      <w:r>
        <w:t xml:space="preserve">Comparar o desempenho preditivo dos modelos por meio de métricas de erro (RMSE e MAE) e do teste Diebold-Mariano;</w:t>
      </w:r>
    </w:p>
    <w:p>
      <w:pPr>
        <w:numPr>
          <w:ilvl w:val="0"/>
          <w:numId w:val="1001"/>
        </w:numPr>
      </w:pPr>
      <w:r>
        <w:t xml:space="preserve">Analisar se a vantagem preditiva dos modelos data-driven se mantém em subperíodos de alta volatilidade, como crises e choques macroeconômicos relevantes para o câmbio brasileiro.</w:t>
      </w:r>
    </w:p>
    <w:bookmarkEnd w:id="12"/>
    <w:bookmarkEnd w:id="13"/>
    <w:bookmarkStart w:id="14" w:name="justificativa"/>
    <w:p>
      <w:pPr>
        <w:pStyle w:val="Heading2"/>
      </w:pPr>
      <w:r>
        <w:t xml:space="preserve">Justificativa</w:t>
      </w:r>
    </w:p>
    <w:p>
      <w:pPr>
        <w:pStyle w:val="FirstParagraph"/>
      </w:pPr>
      <w:r>
        <w:t xml:space="preserve">A rigidez paramétrica dos modelos tradicionais de volatilidade constitui um desafio relevante na modelagem de séries financeiras,</w:t>
      </w:r>
      <w:r>
        <w:t xml:space="preserve"> </w:t>
      </w:r>
      <w:r>
        <w:t xml:space="preserve">especialmente em contextos caracterizados por elevada instabilidade. No caso da taxa de câmbio USD/BRL, essa limitação se torna particularmente significativa:</w:t>
      </w:r>
      <w:r>
        <w:t xml:space="preserve"> </w:t>
      </w:r>
      <w:r>
        <w:t xml:space="preserve">a dinâmica cambial brasileira é influenciada simultaneamente por fundamentos macroeconômicos, fluxos de capital internacional e componentes de incerteza política</w:t>
      </w:r>
      <w:r>
        <w:t xml:space="preserve"> </w:t>
      </w:r>
      <w:r>
        <w:t xml:space="preserve">doméstica, fatores que interagem de forma não linear e cujos efeitos sobre a volatilidade variam ao longo do tempo.</w:t>
      </w:r>
    </w:p>
    <w:p>
      <w:pPr>
        <w:pStyle w:val="BodyText"/>
      </w:pPr>
      <w:r>
        <w:t xml:space="preserve">Evidências empíricas reforçam essa caracterização. O Banco Central do Brasil (2021) documenta que a volatilidade do câmbio BRL-USD responde a uma combinação</w:t>
      </w:r>
      <w:r>
        <w:t xml:space="preserve"> </w:t>
      </w:r>
      <w:r>
        <w:t xml:space="preserve">de fatores externos e idiossincráticos domésticos, destacando a ausência de um modelo estrutural consagrado para sua explicação. No plano internacional, Chung,</w:t>
      </w:r>
      <w:r>
        <w:t xml:space="preserve"> </w:t>
      </w:r>
      <w:r>
        <w:t xml:space="preserve">Espinoza e Quispe (2025) demonstram que, em períodos de crises agudas, a rigidez dos modelos GARCH pode resultar em redução significativa da capacidade preditiva.</w:t>
      </w:r>
      <w:r>
        <w:t xml:space="preserve"> </w:t>
      </w:r>
      <w:r>
        <w:t xml:space="preserve">Paralelamente, Donaldson e Kamstra (1997) apresentaram evidências de que abordagens não lineares são capazes de capturar efeitos que escapam às equações tradicionais,</w:t>
      </w:r>
      <w:r>
        <w:t xml:space="preserve"> </w:t>
      </w:r>
      <w:r>
        <w:t xml:space="preserve">potencial posteriormente reforçado por Kristjanpoller e Minutolo (2015) em testes com mercados de commodities.</w:t>
      </w:r>
    </w:p>
    <w:p>
      <w:pPr>
        <w:pStyle w:val="BodyText"/>
      </w:pPr>
      <w:r>
        <w:t xml:space="preserve">Apesar desses avanços, ainda não há consenso na literatura sobre a superioridade das abordagens data-driven para previsão de volatilidade cambial em mercados emergentes,</w:t>
      </w:r>
      <w:r>
        <w:t xml:space="preserve"> </w:t>
      </w:r>
      <w:r>
        <w:t xml:space="preserve">onde características estruturais e institucionais específicas podem afetar o desempenho relativo dos modelos. Campani e Durães (2018), em estudo sobre o próprio mercado de</w:t>
      </w:r>
      <w:r>
        <w:t xml:space="preserve"> </w:t>
      </w:r>
      <w:r>
        <w:t xml:space="preserve">câmbio USD/BRL, mostram que modelos GARCH estendidos com variáveis exógenas apresentam capacidade preditiva superior aos modelos univariados, sugerindo que a informação contida</w:t>
      </w:r>
      <w:r>
        <w:t xml:space="preserve"> </w:t>
      </w:r>
      <w:r>
        <w:t xml:space="preserve">na estrutura do mercado cambial brasileiro é relevante, mas não necessariamente capturada da mesma forma por abordagens paramétricas e não paramétricas.</w:t>
      </w:r>
    </w:p>
    <w:p>
      <w:pPr>
        <w:pStyle w:val="BodyText"/>
      </w:pPr>
      <w:r>
        <w:t xml:space="preserve">Desta forma, este trabalho contribui para a literatura ao comparar, de forma sistemática e hierárquica, o desempenho preditivo de modelos model-based e data-driven na previsão da</w:t>
      </w:r>
      <w:r>
        <w:t xml:space="preserve"> </w:t>
      </w:r>
      <w:r>
        <w:t xml:space="preserve">volatilidade diária da taxa de câmbio USD/BRL, com foco na acurácia fora da amostra, na avaliação estatística por meio do teste Diebold-Mariano e na análise de subperíodos de elevada instabilidade.</w:t>
      </w:r>
    </w:p>
    <w:bookmarkEnd w:id="14"/>
    <w:bookmarkStart w:id="15" w:name="estrutura-do-trabalho"/>
    <w:p>
      <w:pPr>
        <w:pStyle w:val="Heading2"/>
      </w:pPr>
      <w:r>
        <w:t xml:space="preserve">Estrutura do trabalho</w:t>
      </w:r>
    </w:p>
    <w:p>
      <w:pPr>
        <w:pStyle w:val="FirstParagraph"/>
      </w:pPr>
      <w:r>
        <w:t xml:space="preserve">Este trabalho está estruturado em seis capítulos, incluindo esta introdução. No segundo capítulo, apresenta-se a revisão de literatura,</w:t>
      </w:r>
      <w:r>
        <w:t xml:space="preserve"> </w:t>
      </w:r>
      <w:r>
        <w:t xml:space="preserve">que abrange a base teórica e as evidências empíricas pertinentes ao tema, fundamentando a evolução dos modelos model-based de volatilidade e as</w:t>
      </w:r>
      <w:r>
        <w:t xml:space="preserve"> </w:t>
      </w:r>
      <w:r>
        <w:t xml:space="preserve">aplicações de machine learning no setor financeiro, com ênfase no mercado cambial. O terceiro capítulo detalha a metodologia, descrevendo a hierarquia</w:t>
      </w:r>
      <w:r>
        <w:t xml:space="preserve"> </w:t>
      </w:r>
      <w:r>
        <w:t xml:space="preserve">de modelos proposta, os critérios de avaliação e as limitações do estudo Em seguida, o quarto capítulo aborda a base de dados e a estratégia empírica, explicitando</w:t>
      </w:r>
      <w:r>
        <w:t xml:space="preserve"> </w:t>
      </w:r>
      <w:r>
        <w:t xml:space="preserve">as fontes, a construção das variáveis e o tratamento de dados. Os resultados são discutidos no quinto capítulo, que compreende a análise descritiva, os resultados principais</w:t>
      </w:r>
      <w:r>
        <w:t xml:space="preserve"> </w:t>
      </w:r>
      <w:r>
        <w:t xml:space="preserve">e testes de robustez, incluindo procedimentos de backtesting para validar a capacidade preditiva e a estabilidade do modelo proposto. Por fim, o</w:t>
      </w:r>
      <w:r>
        <w:t xml:space="preserve"> </w:t>
      </w:r>
      <w:r>
        <w:t xml:space="preserve">sexto capítulo apresenta a conclusão, sintetizando os achados, as contribuições do trabalho e as sugestões para pesquisas futuras.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2026-05-27T14:19:12Z</dcterms:created>
  <dcterms:modified xsi:type="dcterms:W3CDTF">2026-05-27T14:19:12Z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