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etodologia"/>
    <w:p>
      <w:pPr>
        <w:pStyle w:val="Heading1"/>
      </w:pPr>
      <w:r>
        <w:t xml:space="preserve">Metodologia</w:t>
      </w:r>
    </w:p>
    <w:p>
      <w:pPr>
        <w:pStyle w:val="FirstParagraph"/>
      </w:pPr>
      <w:r>
        <w:t xml:space="preserve">Este capítulo descreve a estratégia metodológica adotada para comparar o desempenho preditivo dos modelos de previsão de volatilidade da taxa de câmbio USD/BRL. O capítulo está organizado em quatro seções. A seção 3.1 apresenta o desenho da pesquisa, definindo o tipo de estudo, o período amostral e os procedimentos de análise descritiva que precedem a estimação dos modelos. A seção 3.2 detalha a hierarquia de modelos proposta, descrevendo as especificações de cada nível (dos benchmarks ingênuos aos modelos data-driven) e as decisões de implementação adotadas em cada caso. A seção 3.3 apresenta a estratégia de avaliação fora da amostra, especificando o procedimento de walk-forward com janela expansiva, as métricas de erro utilizadas e o teste de Diebold-Mariano. Por fim, a seção 3.4 registra as principais limitações da estratégia empírica adotada.</w:t>
      </w:r>
    </w:p>
    <w:bookmarkStart w:id="9" w:name="desenho-da-pesquisa"/>
    <w:p>
      <w:pPr>
        <w:pStyle w:val="Heading2"/>
      </w:pPr>
      <w:r>
        <w:t xml:space="preserve">Desenho da pesquisa</w:t>
      </w:r>
    </w:p>
    <w:p>
      <w:pPr>
        <w:pStyle w:val="FirstParagraph"/>
      </w:pPr>
      <w:r>
        <w:t xml:space="preserve">Este estudo caracteriza-se como uma pesquisa quantitativa de natureza explicativa. O objetivo é comparar o desempenho preditivo</w:t>
      </w:r>
      <w:r>
        <w:t xml:space="preserve"> </w:t>
      </w:r>
      <w:r>
        <w:t xml:space="preserve">de diferentes classes de modelos de previsão de volatilidade aplicados à taxa de câmbio USD/BRL, avaliando em que condições cada</w:t>
      </w:r>
      <w:r>
        <w:t xml:space="preserve"> </w:t>
      </w:r>
      <w:r>
        <w:t xml:space="preserve">abordagem (model-based ou data-driven) apresenta maior acurácia fora da amostra. A unidade de análise é o retorno diário da taxa</w:t>
      </w:r>
      <w:r>
        <w:t xml:space="preserve"> </w:t>
      </w:r>
      <w:r>
        <w:t xml:space="preserve">de câmbio USD/BRL, retirado do Yahoo Finance, e o período estudado compreende janeiro de 2000 até x de 2026. O recorte temporal inicia após a</w:t>
      </w:r>
      <w:r>
        <w:t xml:space="preserve"> </w:t>
      </w:r>
      <w:r>
        <w:t xml:space="preserve">consolidação do regime de câmbio flutuante, implementado em janeiro de 1999, de forma a excluir o período de transição cambial e</w:t>
      </w:r>
      <w:r>
        <w:t xml:space="preserve"> </w:t>
      </w:r>
      <w:r>
        <w:t xml:space="preserve">garantir homogeneidade institucional da série. O período cobre episódios relevantes de estresse cambial, incluindo a crise de</w:t>
      </w:r>
      <w:r>
        <w:t xml:space="preserve"> </w:t>
      </w:r>
      <w:r>
        <w:t xml:space="preserve">confiança de 2002, a crise financeira global de 2008, a recessão brasileira de 2015–2016, o choque da pandemia de COVID-19 em 2020</w:t>
      </w:r>
      <w:r>
        <w:t xml:space="preserve"> </w:t>
      </w:r>
      <w:r>
        <w:t xml:space="preserve">e o ciclo de incerteza fiscal de 2021–2024, o que permite avaliar o desempenho dos modelos em diferentes regimes de volatilidade.</w:t>
      </w:r>
    </w:p>
    <w:p>
      <w:pPr>
        <w:pStyle w:val="BodyText"/>
      </w:pPr>
      <w:r>
        <w:t xml:space="preserve">O método de análise é econométrico e estatístico, combinando modelagem de séries temporais (por meio de modelos ARIMA e da família</w:t>
      </w:r>
      <w:r>
        <w:t xml:space="preserve"> </w:t>
      </w:r>
      <w:r>
        <w:t xml:space="preserve">GARCH) com aprendizado de máquina supervisionado, representado pelos algoritmos Random Forest e XGBoost. A comparação entre os</w:t>
      </w:r>
      <w:r>
        <w:t xml:space="preserve"> </w:t>
      </w:r>
      <w:r>
        <w:t xml:space="preserve">modelos é realizada fora da amostra de estimação, com avaliação por métricas de erro quadrático e pelo teste de hipótese de</w:t>
      </w:r>
      <w:r>
        <w:t xml:space="preserve"> </w:t>
      </w:r>
      <w:r>
        <w:t xml:space="preserve">Diebold e Mariano (1995), que permite verificar se as diferenças de desempenho preditivo entre os modelos são estatisticamente</w:t>
      </w:r>
      <w:r>
        <w:t xml:space="preserve"> </w:t>
      </w:r>
      <w:r>
        <w:t xml:space="preserve">significativas.</w:t>
      </w:r>
    </w:p>
    <w:p>
      <w:pPr>
        <w:pStyle w:val="BodyText"/>
      </w:pPr>
      <w:r>
        <w:t xml:space="preserve">Para fundamentar a modelagem econométrica e de aprendizado de máquina, a série de retornos log-diários da taxa de câmbio USD/BRL será submetida a um conjunto de testes de hipóteses estatísticas e análises diagnósticas preliminares. Essa etapa busca caracterizar as propriedades estatísticas dos dados e validar o comportamento empírico (fatos estilizados) que justifica a hierarquia de modelos adotada.</w:t>
      </w:r>
    </w:p>
    <w:p>
      <w:pPr>
        <w:pStyle w:val="BodyText"/>
      </w:pPr>
      <w:r>
        <w:t xml:space="preserve">O procedimento de análise diagnóstica seguirá a seguinte estrutura metodológica: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Estatísticas Descritivas e Testes de Normalidade e Média</w:t>
      </w:r>
      <w:r>
        <w:t xml:space="preserve">:</w:t>
      </w:r>
      <w:r>
        <w:t xml:space="preserve"> </w:t>
      </w:r>
      <w:r>
        <w:t xml:space="preserve">Serão calculados os momentos centrais da série (média, variância, assimetria e excesso de curtose). O afastamento da distribuição normal será avaliado por meio do teste de Jarque-Bera (JB), cujas hipóteses são formalizadas por:</w:t>
      </w:r>
    </w:p>
    <w:p>
      <w:pPr>
        <w:numPr>
          <w:ilvl w:val="1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Os retornos seguem uma distribuição normal (assimetria nula e curtose igual a 3).</w:t>
      </w:r>
    </w:p>
    <w:p>
      <w:pPr>
        <w:numPr>
          <w:ilvl w:val="1"/>
          <w:numId w:val="1002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Os retornos não seguem uma distribuição normal.</w:t>
      </w:r>
    </w:p>
    <w:p>
      <w:pPr>
        <w:numPr>
          <w:ilvl w:val="0"/>
          <w:numId w:val="1000"/>
        </w:numPr>
      </w:pPr>
      <w:r>
        <w:t xml:space="preserve">Adicionalmente, aplica-se o teste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 Student para avaliar a significância estatística do intercepto da série, sob a hipótese nula de que a média dos retornos é estatisticamente igual a zero 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) contra a hipótese alternativa de que é diferente de zero (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Teste de Raiz Unitária (Estacionaridade)</w:t>
      </w:r>
      <w:r>
        <w:t xml:space="preserve">:</w:t>
      </w:r>
      <w:r>
        <w:t xml:space="preserve"> </w:t>
      </w:r>
      <w:r>
        <w:t xml:space="preserve">A fim de determinar a ordem de integração da série temporal e evitar o problema de regressão espúria, será utilizado o teste</w:t>
      </w:r>
      <w:r>
        <w:t xml:space="preserve"> </w:t>
      </w:r>
      <w:r>
        <w:rPr>
          <w:i/>
          <w:iCs/>
        </w:rPr>
        <w:t xml:space="preserve">Augmented Dickey-Fuller</w:t>
      </w:r>
      <w:r>
        <w:t xml:space="preserve"> </w:t>
      </w:r>
      <w:r>
        <w:t xml:space="preserve">(ADF). O teste avalia a presença de raiz unitária na série em nível (preços) e em primeiras diferenças (retornos), testando:</w:t>
      </w:r>
    </w:p>
    <w:p>
      <w:pPr>
        <w:numPr>
          <w:ilvl w:val="1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 série possui raiz unitária (é não estacionária).</w:t>
      </w:r>
    </w:p>
    <w:p>
      <w:pPr>
        <w:numPr>
          <w:ilvl w:val="1"/>
          <w:numId w:val="1003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A série não possui raiz unitária (é estacionária).</w:t>
      </w:r>
    </w:p>
    <w:p>
      <w:pPr>
        <w:numPr>
          <w:ilvl w:val="0"/>
          <w:numId w:val="1000"/>
        </w:numPr>
      </w:pPr>
      <w:r>
        <w:t xml:space="preserve">Espera-se confirmar que a série de taxas de câmbio é integrada de ordem um,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e que sua primeira diferença é estacionária,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Teste de Autocorrelação Linear</w:t>
      </w:r>
      <w:r>
        <w:t xml:space="preserve">:</w:t>
      </w:r>
      <w:r>
        <w:t xml:space="preserve"> </w:t>
      </w:r>
      <w:r>
        <w:t xml:space="preserve">Para testar a dependência temporal nos retornos e na variância, aplica-se o teste de Ljung-Box (</w:t>
      </w:r>
      <m:oMath>
        <m:r>
          <m:t>Q</m:t>
        </m:r>
      </m:oMath>
      <w:r>
        <w:t xml:space="preserve">) sobre os retornos diários e sobre os retornos ao quadrado, respectivamente. O teste avalia a hipótese conjunta de ausência de autocorrelação até uma defasagem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numPr>
          <w:ilvl w:val="1"/>
          <w:numId w:val="1004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Não há autocorrelação na série até a defasagem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numPr>
          <w:ilvl w:val="1"/>
          <w:numId w:val="1004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Existe autocorrelação em pelo menos uma defasagem até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A rejeição de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 os retornos ao quadrado fornece evidência estatística de dependência não linear na variância, confirmando o fenômeno de agrupamento de volatilidade (</w:t>
      </w:r>
      <w:r>
        <w:rPr>
          <w:i/>
          <w:iCs/>
        </w:rPr>
        <w:t xml:space="preserve">volatility clustering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Teste de Efeitos ARCH</w:t>
      </w:r>
      <w:r>
        <w:t xml:space="preserve">:</w:t>
      </w:r>
      <w:r>
        <w:t xml:space="preserve"> </w:t>
      </w:r>
      <w:r>
        <w:t xml:space="preserve">A validação da heterocedasticidade condicional, requisito indispensável para a especificação de modelos da família GARCH, será realizada via teste de Multiplicador de Lagrange para efeitos ARCH (ARCH-LM). O teste verifica a existência de estrutura autorregressiva nos quadrados dos resíduos da regressão linear inicial, sob as seguintes hipóteses:</w:t>
      </w:r>
    </w:p>
    <w:p>
      <w:pPr>
        <w:numPr>
          <w:ilvl w:val="1"/>
          <w:numId w:val="1005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Ausência de efeitos ARCH (a variância condicional é constante).</w:t>
      </w:r>
    </w:p>
    <w:p>
      <w:pPr>
        <w:numPr>
          <w:ilvl w:val="1"/>
          <w:numId w:val="1005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 Presença de efeitos ARCH (a variância condicional depende do quadrado dos choques passados).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Análise de Correlogramas</w:t>
      </w:r>
      <w:r>
        <w:t xml:space="preserve">:</w:t>
      </w:r>
      <w:r>
        <w:t xml:space="preserve"> </w:t>
      </w:r>
      <w:r>
        <w:t xml:space="preserve">Por fim, a avaliação visual das Funções de Autocorrelação (ACF) e Autocorrelação Parcial (PACF) dos retornos e de seus retornos ao quadrado será adotada como critério complementar de identificação. Essa análise provê o suporte empírico necessário para a determinação inicial das ordens dos polinômios autorregressivos (</w:t>
      </w:r>
      <m:oMath>
        <m:r>
          <m:t>p</m:t>
        </m:r>
      </m:oMath>
      <w:r>
        <w:t xml:space="preserve">) e de médias móveis (</w:t>
      </w:r>
      <m:oMath>
        <m:r>
          <m:t>q</m:t>
        </m:r>
      </m:oMath>
      <w:r>
        <w:t xml:space="preserve">) no ajuste do modelo ARIMA de referência.</w:t>
      </w:r>
    </w:p>
    <w:bookmarkEnd w:id="9"/>
    <w:bookmarkStart w:id="14" w:name="hierarquia-de-modelos"/>
    <w:p>
      <w:pPr>
        <w:pStyle w:val="Heading2"/>
      </w:pPr>
      <w:r>
        <w:t xml:space="preserve">Hierarquia de modelos</w:t>
      </w:r>
    </w:p>
    <w:p>
      <w:pPr>
        <w:pStyle w:val="FirstParagraph"/>
      </w:pPr>
      <w:r>
        <w:t xml:space="preserve">A estratégia metodológica deste trabalho organiza os modelos em uma hierarquia crescente de complexidade, estruturada em torno da</w:t>
      </w:r>
      <w:r>
        <w:t xml:space="preserve"> </w:t>
      </w:r>
      <w:r>
        <w:t xml:space="preserve">dicotomia entre os paradigmas model-based e data-driven. Os modelos model-based impõem ao processo gerador de dados uma estrutura</w:t>
      </w:r>
      <w:r>
        <w:t xml:space="preserve"> </w:t>
      </w:r>
      <w:r>
        <w:t xml:space="preserve">funcional previamente especificada, garantindo interpretabilidade e robustez estatística sob pressupostos distribicionais. Os</w:t>
      </w:r>
      <w:r>
        <w:t xml:space="preserve"> </w:t>
      </w:r>
      <w:r>
        <w:t xml:space="preserve">modelos data-driven operam sem pressupostos funcionais rígidos, aprendendo as relações diretamente da amostra. A hierarquia é</w:t>
      </w:r>
      <w:r>
        <w:t xml:space="preserve"> </w:t>
      </w:r>
      <w:r>
        <w:t xml:space="preserve">composta por quatro níveis, descritos a seguir.</w:t>
      </w:r>
    </w:p>
    <w:bookmarkStart w:id="10" w:name="X052ecd8a10a38323835c25db13cf0941b1e7464"/>
    <w:p>
      <w:pPr>
        <w:pStyle w:val="Heading3"/>
      </w:pPr>
      <w:r>
        <w:t xml:space="preserve">Nível 1 - Benchmarks ingênuos: Média Histórica e EWMA</w:t>
      </w:r>
    </w:p>
    <w:p>
      <w:pPr>
        <w:pStyle w:val="FirstParagraph"/>
      </w:pPr>
      <w:r>
        <w:t xml:space="preserve">Os modelos de referência ingênuos constituem o piso de comparação da hierarquia. A Média Histórica estima a variância condicional</w:t>
      </w:r>
      <w:r>
        <w:t xml:space="preserve"> </w:t>
      </w:r>
      <w:r>
        <w:t xml:space="preserve">como a média simples dos retornos ao quadrado em uma janela fixa de K observações: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∑</m:t>
          </m:r>
          <m:sSubSup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</m:oMath>
      </m:oMathPara>
    </w:p>
    <w:p>
      <w:pPr>
        <w:pStyle w:val="FirstParagraph"/>
      </w:pPr>
      <w:r>
        <w:t xml:space="preserve">com K = 22 dias úteis, equivalente a aproximadamente um mês de negociação. Esse modelo não possui qualquer estrutura dinâmica e</w:t>
      </w:r>
      <w:r>
        <w:t xml:space="preserve"> </w:t>
      </w:r>
      <w:r>
        <w:t xml:space="preserve">serve como referência mínima: qualquer modelo que não supere a Média Histórica não apresenta poder preditivo relevante.</w:t>
      </w:r>
    </w:p>
    <w:p>
      <w:pPr>
        <w:pStyle w:val="BodyText"/>
      </w:pPr>
      <w:r>
        <w:t xml:space="preserve">O modelo EWMA (Exponentially Weighted Moving Average), padronizado pelo sistema RiskMetrics, atribui pesos exponencialmente</w:t>
      </w:r>
      <w:r>
        <w:t xml:space="preserve"> </w:t>
      </w:r>
      <w:r>
        <w:t xml:space="preserve">decrescentes às observações passadas, conferindo maior reatividade a variações recentes: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Sup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λ</m:t>
          </m:r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</m:t>
        </m:r>
      </m:oMath>
      <w:r>
        <w:t xml:space="preserve">, valor padrão para dados diários estabelecido pelo RiskMetrics (J.P. Morgan, 1996). O EWMA não possui parâmetros</w:t>
      </w:r>
      <w:r>
        <w:t xml:space="preserve"> </w:t>
      </w:r>
      <w:r>
        <w:t xml:space="preserve">estimados por máxima verossimilhança e não reverte à média incondicional, o que o torna mais responsivo a mudanças de regime em</w:t>
      </w:r>
      <w:r>
        <w:t xml:space="preserve"> </w:t>
      </w:r>
      <w:r>
        <w:t xml:space="preserve">curto prazo, mas menos adequado para horizontes mais longos.</w:t>
      </w:r>
    </w:p>
    <w:bookmarkEnd w:id="10"/>
    <w:bookmarkStart w:id="11" w:name="Xdd66946a980a4961ff9a23c9ff9f166d575cb96"/>
    <w:p>
      <w:pPr>
        <w:pStyle w:val="Heading3"/>
      </w:pPr>
      <w:r>
        <w:t xml:space="preserve">Nível 2 - Modelo linear: ARIMA aplicado à volatilidade</w:t>
      </w:r>
    </w:p>
    <w:p>
      <w:pPr>
        <w:pStyle w:val="FirstParagraph"/>
      </w:pPr>
      <w:r>
        <w:t xml:space="preserve">O segundo nível da hierarquia introduz estrutura de autocorrelação linear por meio de um modelo ARMA(p,q) aplicado diretamente sobre</w:t>
      </w:r>
      <w:r>
        <w:t xml:space="preserve"> </w:t>
      </w:r>
      <w:r>
        <w:t xml:space="preserve">a série de retornos ao quadrado (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t xml:space="preserve">), utilizada como proxy observável de volatilidade. Seguindo Poon e Granger (2003), essa</w:t>
      </w:r>
      <w:r>
        <w:t xml:space="preserve"> </w:t>
      </w:r>
      <w:r>
        <w:t xml:space="preserve">abordagem trata a variância como uma série temporal observável e busca a melhor previsão linear baseada em seu histórico,</w:t>
      </w:r>
      <w:r>
        <w:t xml:space="preserve"> </w:t>
      </w:r>
      <w:r>
        <w:t xml:space="preserve">sem modelar explicitamente a variância condicional. A especificação geral é: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d</m:t>
              </m:r>
            </m:sup>
          </m:sSup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são os operadores autorregressivo e de médias móveis, respectivamente, 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é o termo de erro. A ordem (p,q) será</w:t>
      </w:r>
      <w:r>
        <w:t xml:space="preserve"> </w:t>
      </w:r>
      <w:r>
        <w:t xml:space="preserve">selecionada pelo critério de informação de Akaike (AIC), com diagnóstico dos resíduos pelo teste de Ljung-Box. O ARIMA opera como benchmark de estrutura</w:t>
      </w:r>
      <w:r>
        <w:t xml:space="preserve"> </w:t>
      </w:r>
      <w:r>
        <w:t xml:space="preserve">linear: captura persistência na volatilidade, mas não modela a heterocedasticidade condicional, o que justifica a progressão ao próximo nível.</w:t>
      </w:r>
    </w:p>
    <w:bookmarkEnd w:id="11"/>
    <w:bookmarkStart w:id="12" w:name="X31989330aa09d1031376463af0d85b00f2d1651"/>
    <w:p>
      <w:pPr>
        <w:pStyle w:val="Heading3"/>
      </w:pPr>
      <w:r>
        <w:t xml:space="preserve">Nível 3 - Modelos de heterocedasticidade condicional: GARCH e EGARCH</w:t>
      </w:r>
    </w:p>
    <w:p>
      <w:pPr>
        <w:pStyle w:val="FirstParagraph"/>
      </w:pPr>
      <w:r>
        <w:t xml:space="preserve">O terceiro nível introduz modelagem explícita da variância condicional por meio dos modelos GARCH(1,1) e EGARCH(1,1), estimados diretamente sobre a série</w:t>
      </w:r>
      <w:r>
        <w:t xml:space="preserve"> </w:t>
      </w:r>
      <w:r>
        <w:t xml:space="preserve">de retornos log-diários do USD/BRL. A ordem (1,1) é adotada diretamente, sem busca de defasagens via critério de informação, seguindo Hansen e Lunde (2005),</w:t>
      </w:r>
      <w:r>
        <w:t xml:space="preserve"> </w:t>
      </w:r>
      <w:r>
        <w:t xml:space="preserve">cujos testes sobre séries cambiais diárias demonstram que especificações mais complexas não produzem ganhos preditivos consistentes em relação ao GARCH(1,1).</w:t>
      </w:r>
      <w:r>
        <w:t xml:space="preserve"> </w:t>
      </w:r>
      <w:r>
        <w:t xml:space="preserve">A especificação do GARCH(1,1), conforme Bollerslev (1986), é: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r>
            <m:t>α</m:t>
          </m:r>
          <m:sSubSup>
            <m:e>
              <m:r>
                <m:t>ε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β</m:t>
          </m:r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com as restrições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para garantir positividade e estacionariedade da variância condicional.</w:t>
      </w:r>
      <w:r>
        <w:t xml:space="preserve"> </w:t>
      </w:r>
      <w:r>
        <w:t xml:space="preserve">A soma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mede a persistência da volatilidade: valores próximos a 1 indicam que choques têm efeitos duradouros sobre a variância, característica</w:t>
      </w:r>
      <w:r>
        <w:t xml:space="preserve"> </w:t>
      </w:r>
      <w:r>
        <w:t xml:space="preserve">tipicamente observada em séries cambiais.</w:t>
      </w:r>
    </w:p>
    <w:p>
      <w:pPr>
        <w:pStyle w:val="BodyText"/>
      </w:pPr>
      <w:r>
        <w:t xml:space="preserve">O EGARCH(1,1), proposto por Nelson (1991), especifica a variância condicional em escala logarítmica, dispensando as restrições de positividade dos parâmetros e</w:t>
      </w:r>
      <w:r>
        <w:t xml:space="preserve"> </w:t>
      </w:r>
      <w:r>
        <w:t xml:space="preserve">permitindo capturar assimetria na resposta da volatilidade a choques positivos e negativos: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r>
            <m:t>α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ε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t>γ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é o resíduo padronizado 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é o parâmetro de assimetria. Um valor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estatisticamente significativo indica</w:t>
      </w:r>
      <w:r>
        <w:t xml:space="preserve"> </w:t>
      </w:r>
      <w:r>
        <w:t xml:space="preserve">que depreciações do real elevam a volatilidade de forma mais intensa do que apreciações de mesma magnitude, hipótese relevante para o mercado cambial brasileiro. Ambos os</w:t>
      </w:r>
      <w:r>
        <w:t xml:space="preserve"> </w:t>
      </w:r>
      <w:r>
        <w:t xml:space="preserve">modelos serão estimados por máxima verossimilhança com distribuição t de Student, para acomodar as caudas pesadas dos retornos cambiais. A seleção entre GARCH e EGARCH será</w:t>
      </w:r>
      <w:r>
        <w:t xml:space="preserve"> </w:t>
      </w:r>
      <w:r>
        <w:t xml:space="preserve">feita com base no critério BIC e no teste da razão de verossimilhança.</w:t>
      </w:r>
    </w:p>
    <w:bookmarkEnd w:id="12"/>
    <w:bookmarkStart w:id="13" w:name="Xe82d3b4a161aac797a095781b18622d89abcc8c"/>
    <w:p>
      <w:pPr>
        <w:pStyle w:val="Heading3"/>
      </w:pPr>
      <w:r>
        <w:t xml:space="preserve">Nível 4 - Modelos data-driven: Random Forest e XGBoost</w:t>
      </w:r>
    </w:p>
    <w:p>
      <w:pPr>
        <w:pStyle w:val="FirstParagraph"/>
      </w:pPr>
      <w:r>
        <w:t xml:space="preserve">O quarto nível da hierarquia compreende os modelos</w:t>
      </w:r>
      <w:r>
        <w:t xml:space="preserve"> </w:t>
      </w:r>
      <w:r>
        <w:rPr>
          <w:i/>
          <w:iCs/>
        </w:rPr>
        <w:t xml:space="preserve">data-driven</w:t>
      </w:r>
      <w:r>
        <w:t xml:space="preserve">, que não impõem estrutura funcional ao processo gerador de dados. Diferentemente dos modelos anteriores,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e o</w:t>
      </w:r>
      <w:r>
        <w:t xml:space="preserve"> </w:t>
      </w:r>
      <w:r>
        <w:rPr>
          <w:i/>
          <w:iCs/>
        </w:rPr>
        <w:t xml:space="preserve">XGBoost</w:t>
      </w:r>
      <w:r>
        <w:t xml:space="preserve"> </w:t>
      </w:r>
      <w:r>
        <w:t xml:space="preserve">operam como problemas de aprendizado supervisionado: a variável dependente é a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de volatilidade (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t xml:space="preserve">) e as variáveis</w:t>
      </w:r>
      <w:r>
        <w:t xml:space="preserve"> </w:t>
      </w:r>
      <w:r>
        <w:t xml:space="preserve">independentes são um vetor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construídas a partir do histórico da série.</w:t>
      </w:r>
    </w:p>
    <w:p>
      <w:pPr>
        <w:pStyle w:val="BodyText"/>
      </w:pPr>
      <w:r>
        <w:t xml:space="preserve">O vetor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será composto pelas seguintes variáveis:</w:t>
      </w:r>
    </w:p>
    <w:p>
      <w:pPr>
        <w:numPr>
          <w:ilvl w:val="0"/>
          <w:numId w:val="1006"/>
        </w:numPr>
      </w:pPr>
      <w:r>
        <w:t xml:space="preserve">Retornos log-diários defasados: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22</m:t>
            </m:r>
          </m:sub>
        </m:sSub>
      </m:oMath>
      <w:r>
        <w:t xml:space="preserve">;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Proxies</w:t>
      </w:r>
      <w:r>
        <w:t xml:space="preserve"> </w:t>
      </w:r>
      <w:r>
        <w:t xml:space="preserve">de volatilidade defasadas: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5</m:t>
            </m:r>
          </m:sub>
          <m:sup>
            <m:r>
              <m:t>2</m:t>
            </m:r>
          </m:sup>
        </m:sSubSup>
      </m:oMath>
      <w:r>
        <w:t xml:space="preserve">;</w:t>
      </w:r>
    </w:p>
    <w:p>
      <w:pPr>
        <w:numPr>
          <w:ilvl w:val="0"/>
          <w:numId w:val="1006"/>
        </w:numPr>
      </w:pPr>
      <w:r>
        <w:t xml:space="preserve">Volatilidade condicional estimada pelo GARCH(1,1):</w:t>
      </w:r>
      <w: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r>
        <w:rPr>
          <w:i/>
          <w:iCs/>
        </w:rPr>
        <w:t xml:space="preserve">feature</w:t>
      </w:r>
      <w:r>
        <w:t xml:space="preserve"> </w:t>
      </w:r>
      <w:r>
        <w:t xml:space="preserve">derivada do nível 3);</w:t>
      </w:r>
    </w:p>
    <w:p>
      <w:pPr>
        <w:numPr>
          <w:ilvl w:val="0"/>
          <w:numId w:val="1006"/>
        </w:numPr>
      </w:pPr>
      <w:r>
        <w:t xml:space="preserve">Indicadores de calendário: dia da semana e mês (efeitos sazonais documentados em séries cambiais).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será treinado com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árvores, com o número de variáveis sorteadas em cada divisão fixado em</w:t>
      </w:r>
      <w:r>
        <w:t xml:space="preserve"> </w:t>
      </w:r>
      <m:oMath>
        <m:r>
          <m:rPr>
            <m:sty m:val="p"/>
          </m:rPr>
          <m:t>⌊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⌋</m:t>
        </m:r>
      </m:oMath>
      <w:r>
        <w:t xml:space="preserve">, seguindo a recomendação de</w:t>
      </w:r>
      <w:r>
        <w:t xml:space="preserve"> </w:t>
      </w:r>
      <w:r>
        <w:t xml:space="preserve">Breiman (2001). O</w:t>
      </w:r>
      <w:r>
        <w:t xml:space="preserve"> </w:t>
      </w:r>
      <w:r>
        <w:rPr>
          <w:i/>
          <w:iCs/>
        </w:rPr>
        <w:t xml:space="preserve">XGBoost</w:t>
      </w:r>
      <w:r>
        <w:t xml:space="preserve"> </w:t>
      </w:r>
      <w:r>
        <w:t xml:space="preserve">será estimado com regularização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(parâmetro</w:t>
      </w:r>
      <w:r>
        <w:t xml:space="preserve"> </w:t>
      </w:r>
      <m:oMath>
        <m:r>
          <m:t>λ</m:t>
        </m:r>
      </m:oMath>
      <w:r>
        <w:t xml:space="preserve">) e penalização sobre o número de folhas (parâmetro</w:t>
      </w:r>
      <w:r>
        <w:t xml:space="preserve"> </w:t>
      </w:r>
      <m:oMath>
        <m:r>
          <m:t>γ</m:t>
        </m:r>
      </m:oMath>
      <w:r>
        <w:t xml:space="preserve">), com os hiperparâmetros,</w:t>
      </w:r>
      <w:r>
        <w:t xml:space="preserve"> </w:t>
      </w:r>
      <w:r>
        <w:t xml:space="preserve">taxa de aprendizado, profundidade máxima das árvores e número de estimadores, selecionados por validação cruzada temporal com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i/>
          <w:iCs/>
        </w:rPr>
        <w:t xml:space="preserve">folds</w:t>
      </w:r>
      <w:r>
        <w:t xml:space="preserve">, respeitando a ordem cronológica</w:t>
      </w:r>
      <w:r>
        <w:t xml:space="preserve"> </w:t>
      </w:r>
      <w:r>
        <w:t xml:space="preserve">das observações para evitar vazamento de informação futura (</w:t>
      </w:r>
      <w:r>
        <w:rPr>
          <w:i/>
          <w:iCs/>
        </w:rPr>
        <w:t xml:space="preserve">data leakage</w:t>
      </w:r>
      <w:r>
        <w:t xml:space="preserve">).</w:t>
      </w:r>
    </w:p>
    <w:bookmarkEnd w:id="13"/>
    <w:bookmarkEnd w:id="14"/>
    <w:bookmarkStart w:id="15" w:name="estratégia-de-avaliação-fora-da-amostra"/>
    <w:p>
      <w:pPr>
        <w:pStyle w:val="Heading2"/>
      </w:pPr>
      <w:r>
        <w:t xml:space="preserve">Estratégia de avaliação fora da amostra</w:t>
      </w:r>
    </w:p>
    <w:p>
      <w:pPr>
        <w:pStyle w:val="FirstParagraph"/>
      </w:pPr>
      <w:r>
        <w:t xml:space="preserve">A avaliação do desempenho preditivo de todos os modelos será realizada fora da amostra de estimação, por meio de uma janela expansiva (expanding window). Nessa abordagem, o modelo é</w:t>
      </w:r>
      <w:r>
        <w:t xml:space="preserve"> </w:t>
      </w:r>
      <w:r>
        <w:t xml:space="preserve">estimado com todas as observações disponíveis até o período t e produz previsão para t + 1; em seguida, a janela de estimação é expandida com a nova observação e o processo se repete.</w:t>
      </w:r>
      <w:r>
        <w:t xml:space="preserve"> </w:t>
      </w:r>
      <w:r>
        <w:t xml:space="preserve">A janela expansiva é preferida à janela rolante no contexto deste trabalho porque preserva toda a informação histórica, relevante em séries com múltiplos regimes de volatilidade como o</w:t>
      </w:r>
      <w:r>
        <w:t xml:space="preserve"> </w:t>
      </w:r>
      <w:r>
        <w:t xml:space="preserve">câmbio brasileiro.</w:t>
      </w:r>
    </w:p>
    <w:p>
      <w:pPr>
        <w:pStyle w:val="BodyText"/>
      </w:pPr>
      <w:r>
        <w:t xml:space="preserve">A amostra será dividida em dois subperíodos: janeiro de 2000 a dezembro de 2019 como janela de estimação inicial (aproximadamente 75% das observações) e janeiro de 2020 a maio de 2026</w:t>
      </w:r>
      <w:r>
        <w:t xml:space="preserve"> </w:t>
      </w:r>
      <w:r>
        <w:t xml:space="preserve">como janela de avaliação fora da amostra (aproximadamente 25% das observações). Essa divisão é deliberada: o subperíodo de avaliação concentra os episódios de maior estresse cambial recente,</w:t>
      </w:r>
      <w:r>
        <w:t xml:space="preserve"> </w:t>
      </w:r>
      <w:r>
        <w:t xml:space="preserve">o choque da pandemia de COVID-19, o ciclo de alta do dólar de 2021-2022, a incerteza fiscal de 2023-2024 e os desdobramentos macroeconômicos até 2026, permitindo avaliar o desempenho preditivo</w:t>
      </w:r>
      <w:r>
        <w:t xml:space="preserve"> </w:t>
      </w:r>
      <w:r>
        <w:t xml:space="preserve">dos modelos precisamente sob sucessivas quebras estruturais e condições adversas de mercado.</w:t>
      </w:r>
    </w:p>
    <w:p>
      <w:pPr>
        <w:pStyle w:val="BodyText"/>
      </w:pPr>
      <w:r>
        <w:t xml:space="preserve">O desempenho preditivo será avaliado pelas seguintes métricas:</w:t>
      </w:r>
    </w:p>
    <w:p>
      <w:pPr>
        <w:numPr>
          <w:ilvl w:val="0"/>
          <w:numId w:val="1007"/>
        </w:numPr>
      </w:pPr>
      <w:r>
        <w:t xml:space="preserve">Raiz do Erro Quadrático Médio (RMSE): penaliza erros grandes de forma proporcional ao quadrado do desvio, sendo mais sensível a episódios de alta volatilidade;</w:t>
      </w:r>
    </w:p>
    <w:p>
      <w:pPr>
        <w:numPr>
          <w:ilvl w:val="0"/>
          <w:numId w:val="1007"/>
        </w:numPr>
      </w:pPr>
      <w:r>
        <w:t xml:space="preserve">Erro Absoluto Médio (MAE): medida de erro mais robusta a outliers, complementar ao RMSE;</w:t>
      </w:r>
    </w:p>
    <w:p>
      <w:pPr>
        <w:numPr>
          <w:ilvl w:val="0"/>
          <w:numId w:val="1007"/>
        </w:numPr>
      </w:pPr>
      <w:r>
        <w:t xml:space="preserve">Teste de Diebold-Mariano (DM): teste de hipótese que avalia se a diferença entre as funções de perda de dois modelos é estatisticamente significativa, com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 que os erros de previsão dos dois modelos comparados são iguais em média (Diebold e Mariano, 1995).</w:t>
      </w:r>
    </w:p>
    <w:p>
      <w:pPr>
        <w:pStyle w:val="FirstParagraph"/>
      </w:pPr>
      <w:r>
        <w:t xml:space="preserve">Adicionalmente, o desempenho será analisado em subperíodos de alta volatilidade, identificados como os percentis superiores da distribuição da volatilidade realizada na janela de avaliação. Essa análise permite verificar se a eventual vantagem dos modelos data-driven se concentra em períodos de estresse ou se é uniforme ao longo do tempo.</w:t>
      </w:r>
    </w:p>
    <w:bookmarkEnd w:id="15"/>
    <w:bookmarkStart w:id="16" w:name="limitações"/>
    <w:p>
      <w:pPr>
        <w:pStyle w:val="Heading2"/>
      </w:pPr>
      <w:r>
        <w:t xml:space="preserve">Limitações</w:t>
      </w:r>
    </w:p>
    <w:p>
      <w:pPr>
        <w:pStyle w:val="FirstParagraph"/>
      </w:pPr>
      <w:r>
        <w:t xml:space="preserve">Este estudo apresenta algumas limitações que devem ser registradas. Primeiro, a proxy de volatilidade adotada, o retorno ao quadrado (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t xml:space="preserve">), é uma medida ruidosa da volatilidade latente, pois combina variância condicional e o quadrado da inovação. Em estudos com dados intradiários, seria possível calcular a volatilidade realizada de forma mais precisa, no entanto, a disponibilidade de dados diários de fechamento é suficiente para o escopo deste trabalho e é o padrão adotado na literatura comparativa com modelos GARCH.</w:t>
      </w:r>
    </w:p>
    <w:p>
      <w:pPr>
        <w:pStyle w:val="BodyText"/>
      </w:pPr>
      <w:r>
        <w:t xml:space="preserve">Segundo, os modelos data-driven utilizados, Random Forest e XGBoost, não possuem estrutura de memória temporal interna, dependendo inteiramente da engenharia de features para capturar a dinâmica serial da volatilidade. A escolha das defasagens e variáveis incluídas no vetor de features introduz um grau de subjetividade que modelos econométricos tradicionais evitam por construção.</w:t>
      </w:r>
    </w:p>
    <w:p>
      <w:pPr>
        <w:pStyle w:val="BodyText"/>
      </w:pPr>
      <w:r>
        <w:t xml:space="preserve">Terceiro, a análise é restrita à previsão de um passo à frente (one-step-ahead), não abrangendo horizontes mais longos. A extensão para múltiplos horizontes, bem como a incorporação de variáveis exógenas, como o índice VIX, o diferencial de juros Brasil-EUA e o CDS soberano brasileiro, constituem agenda para pesquisas futuras.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2026-05-27T14:19:50Z</dcterms:created>
  <dcterms:modified xsi:type="dcterms:W3CDTF">2026-05-27T14:19:50Z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