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 Política Monetária afeta o volume de Fusões e Aquisições no Brasil?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Análise comparativa das 4 versões do modelo (2005-2024)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Tabela síntese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2000"/>
        <w:gridCol w:w="2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 (após lags)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Selic em nível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Log(M&amp;A) + ΔSelic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v1 — Mensal, nível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-4,80 a -5,40***
(lags 1,3,6)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Selic em nível: efeito negativo forte e estável em todas as defasagens.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v2 — Mensal, log+ΔSelic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+1,40*** (1m)
+0,88** (3m)
+0,13 ns (6m)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 ΔSelic e M&amp;A em log, o sinal se inverte e o efeito desaparece a partir de 6 meses.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v3 — Semestral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-45,6*** (1s)
-42,3** (2s)
-24,3 ns (3s)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+0,97** (1s)
-0,29 ns (2s)
-0,48† (3s)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padrão do mensal, com sinal trocando de novo na 3ª defasagem.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v4 — Anual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-89,4** (1a)
-8,5 ns (2a)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+0,28 ns (1a)
-0,53** (2a)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Amostra muito pequena (df=13); resultado da 2ª defasagem em log contradiz as demais versões.</w:t>
            </w:r>
          </w:p>
        </w:tc>
      </w:tr>
    </w:tbl>
    <w:p>
      <w:pPr>
        <w:spacing w:after="200" w:before="100"/>
      </w:pPr>
      <w:r>
        <w:rPr>
          <w:i/>
          <w:iCs/>
          <w:color w:val="757575"/>
          <w:sz w:val="17"/>
          <w:szCs w:val="17"/>
        </w:rPr>
        <w:t xml:space="preserve">*** p&lt;0,01  ** p&lt;0,05  † p&lt;0,10 (borderline)  ns = não significante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O que os quatro resultados mostram em conjunto</w:t>
      </w:r>
    </w:p>
    <w:p>
      <w:pPr>
        <w:spacing w:after="140"/>
      </w:pPr>
      <w:r>
        <w:rPr>
          <w:sz w:val="21"/>
          <w:szCs w:val="21"/>
        </w:rPr>
        <w:t xml:space="preserve">As quatro versões testam a mesma pergunta — a Selic antecede quedas no número de operações de M&amp;A? — sob quatro formas de medir a mesma coisa: nível vs. variação da Selic, M&amp;A em contagem vs. em log, e frequência mensal, semestral e anual. Um padrão aparece três vezes de forma consistente e quebra uma única vez, na versão com menos observações.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Selic em nível → coeficiente negativo e significante. </w:t>
      </w:r>
      <w:r>
        <w:rPr>
          <w:sz w:val="21"/>
          <w:szCs w:val="21"/>
        </w:rPr>
        <w:t xml:space="preserve">Nas três granularidades em que essa especificação foi rodada (mensal, semestral, anual), o coeficiente da Selic em nível na 1ª defasagem é negativo e estatisticamente significante: -4,80 (mensal), -45,6 (semestral), -89,4 (anual). O efeito também enfraquece com a defasagem mais longa em todos os casos.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Log(M&amp;A) + ΔSelic → coeficiente positivo na 1ª defasagem, depois cai. </w:t>
      </w:r>
      <w:r>
        <w:rPr>
          <w:sz w:val="21"/>
          <w:szCs w:val="21"/>
        </w:rPr>
        <w:t xml:space="preserve">Ao trocar a Selic em nível (nível não é estacionário, confirmado pelo ADF) pela variação da Selic e o M&amp;A por log, o sinal na 1ª defasagem se inverte para positivo e significante — 1,40 (mensal), 0,97 (semestral) — mas perde significância ou até troca de sinal nas defasagens mais longas (6 meses, 3 semestres, 2 anos).</w:t>
      </w:r>
    </w:p>
    <w:p>
      <w:pPr>
        <w:spacing w:after="140"/>
      </w:pPr>
      <w:r>
        <w:rPr>
          <w:sz w:val="21"/>
          <w:szCs w:val="21"/>
        </w:rPr>
        <w:t xml:space="preserve">A leitura mais defensável desses dois achados juntos não é que 'a Selic reduz M&amp;A' nem que 'a Selic aumenta M&amp;A' — é que o resultado em nível (v1/v3/v4) provavelmente capta uma tendência secular comum às duas séries (a Selic caiu estruturalmente entre 2005 e 2024 enquanto o número de operações de M&amp;A cresceu), e não uma relação causal de curto prazo. Já o resultado em ΔSelic (v2/v3) isola o efeito de curto prazo de uma alta ou queda da Selic no mês/semestre seguinte, e esse efeito de curto prazo aparece positivo — o oposto da hipótese do plano de trabalho.</w:t>
      </w:r>
    </w:p>
    <w:p>
      <w:pPr>
        <w:spacing w:after="140"/>
      </w:pPr>
      <w:r>
        <w:rPr>
          <w:sz w:val="21"/>
          <w:szCs w:val="21"/>
        </w:rPr>
        <w:t xml:space="preserve">Isso é um achado relevante por si só, e não um problema do código: a estacionariedade importa exatamente por isso. Regredir uma série não estacionária (Selic em nível) contra outra em tendência (contagem de M&amp;A crescente) tende a produzir coeficientes 'significantes' que refletem duas tendências coincidentes, não uma relação real — é o clássico problema de regressão espúria (Granger-Newbold).</w:t>
      </w:r>
    </w:p>
    <w:p>
      <w:pPr>
        <w:spacing w:after="140"/>
      </w:pPr>
      <w:r>
        <w:rPr>
          <w:sz w:val="21"/>
          <w:szCs w:val="21"/>
        </w:rPr>
        <w:t xml:space="preserve">A versão anual (v4) foge ao padrão na 2ª defasagem em log (-0,53**, negativo), mas com n=18 e apenas 13 graus de liberdade, um único ano atípico (ex.: 2020 ou 2021) pode dominar o coeficiente. Não vejo isso como uma terceira dinâmica real — é mais provável que seja ruído de amostra pequena do que uma reversão genuína do efeito de curto prazo.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Minha opinião</w:t>
      </w:r>
    </w:p>
    <w:p>
      <w:pPr>
        <w:spacing w:after="140"/>
      </w:pPr>
      <w:r>
        <w:rPr>
          <w:sz w:val="21"/>
          <w:szCs w:val="21"/>
        </w:rPr>
        <w:t xml:space="preserve">Se eu tivesse que escolher uma única especificação para defender no TCC, seria a v2 (mensal, log de M&amp;A + ΔSelic, defasagem de 1 mês), por quatro razões: (i) é a única família em que as premissas de estacionariedade do MQO são respeitadas — Selic em nível não passa no ADF, ΔSelic passa; (ii) o Breusch-Pagan deixa de rejeitar homocedasticidade (p&gt;0,7) nessa especificação, contra p&lt;0,003 na v1; (iii) a amostra mensal (n=234) é a que dá mais poder estatístico entre as quatro; (iv) o resultado é replicado com sinal e magnitude parecidos na frequência semestral (v3), o que dá alguma robustez fora da amostra mensal.</w:t>
      </w:r>
    </w:p>
    <w:p>
      <w:pPr>
        <w:spacing w:after="140"/>
      </w:pPr>
      <w:r>
        <w:rPr>
          <w:sz w:val="21"/>
          <w:szCs w:val="21"/>
        </w:rPr>
        <w:t xml:space="preserve">Dito isso, o resultado da v2 contraria a hipótese principal do plano de trabalho (Selic sobe → M&amp;A cai). Isso não é um problema a esconder — é o resultado. Duas explicações concorrentes valem a pena serem discutidas explicitamente no texto do TCC, sem eu forçar uma conclusão: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Efeito de curto prazo genuíno na direção oposta: um aumento inesperado da Selic pode, no curtíssimo prazo, acelerar operações já em negociação (empresas anteveem custo de capital mais alto e correm para fechar antes que piore), com o efeito de desaceleração aparecendo só depois — algo que só uma defasagem mais longa capturaria bem, e é justamente aí que o coeficiente perde significância.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Causalidade reversa / variável omitida: o Copom normalmente sobe a Selic quando a atividade econômica está aquecida — e M&amp;A tende a acompanhar o ciclo econômico. Selic e M&amp;A podem estar reagindo à mesma força (crescimento, expectativas), sem que uma cause a outra.</w:t>
      </w:r>
    </w:p>
    <w:p>
      <w:pPr>
        <w:spacing w:after="140"/>
      </w:pPr>
      <w:r>
        <w:rPr>
          <w:sz w:val="21"/>
          <w:szCs w:val="21"/>
        </w:rPr>
        <w:t xml:space="preserve">Minha recomendação prática: apresentar as quatro versões no TCC (elas já estão prontas e bem documentadas), mas centrar a conclusão na v2/v3 como especificação preferida por atender às premissas do MQO, e tratar a v1/v4 (nível) como evidência de que a relação 'ingênua' é dominada por tendência comum — um achado metodológico em si, que reforça por que a checagem de estacionariedade do item 2 do plano de trabalho importa.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Sugestões de melhoria para o que já está pronto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Teste de tendência explícita: rodar a v2 adicionando uma variável de tendência linear (t) ou tendência mais quadrática. Se o coeficiente de ΔSelic se mantiver com sinal e significância parecidos após controlar a tendência, isso reforça que o efeito de curto prazo é real e não um artefato da trajetória de longo prazo. Se sumir, é evidência de que a série toda está dominada por tendência.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Teste de causalidade de Granger entre ΔSelic e log(M&amp;A): simples de rodar com os dados que já existem, e dá uma resposta mais direta à pergunta 'a Selic antecede M&amp;A ou o contrário' do que o MQO isoladamente.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Frequência trimestral como ponto intermediário: hoje há mensal, semestral e anual, mas falta o trimestral — um meio-termo que pode ajudar a decidir se o padrão é genuinamente sensível à frequência ou se é só ruído de amostra pequena nas versões semestral/anual.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Robustez leave-one-out na versão anual: com n=18, vale rodar o modelo removendo um ano de cada vez (jackknife) para checar se o coeficiente -0,53** da 2ª defasagem em log depende de um único ano (2020/2021 são os suspeitos óbvios pela pandemia).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Newey-West com seleção formal de lag: hoje os números de lags do HAC são fixados manualmen­te (ex. reduzido para 1 no semestral). Vale rodar com a regra de Newey-West (1994) para o número ótimo de lags e reportar como checagem de robustez, em vez de uma escolha ad hoc.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Erros-padrão bootstrap como checagem adicional, dado o tamanho pequeno da amostra nas versões semestral e anual — HAC assintótico é menos confiável com n&lt;40.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Ideias de novas abordagens (caso valha a pena explorar)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Medida de 'surpresa' da Selic em vez do nível/variação bruta: usar a diferença entre a decisão do Copom e a expectativa de mercado (Focus/BCB, disponível publicamente) em vez da Selic realizada. Isso ataca de frente o problema de causalidade reversa citado acima — o mercado já precifica a Selic esperada, então só a parte 'surpresa' deveria mover decisões de M&amp;A que ainda não estavam nos planos.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Modelo ARDL / correção de erros: como as séries têm ordens de integração mistas (Selic em nível é I(1); ΔSelic, log(M&amp;A) e Ibov_Ret são I(0)), um ARDL permite combinar variáveis I(0) e I(1) na mesma equação com mais rigor do que decidir manualmente 'uso nível' ou 'uso variação' em versões separadas, e ainda separa dinâmica de curto e longo prazo dentro do mesmo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Quebra por tipo de operação: doméstica vs. transfronteiriça (Souza, Gil e Triches, 2024, já discutem isso) — é plausível que M&amp;A cross-border reaja mais a diferencial de juros/câmbio do que ao ciclo doméstico, então juntar os dois pode estar diluindo um efeito que existe só em um subgrupo.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Valor das operações, não só contagem: o plano de trabalho e o Grönroos (2024) focam em contagem, mas Gonzalez (2024) discute a diferença entre quantidade e valor — vale ao menos comentar essa limitação no TCC, já que a Selic pode afetar o tamanho médio das operações (custo de financiamento) sem afetar quantas acontecem.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Estudo de evento ao redor das datas do Copom: em vez de um painel mensal/semestral agregado, olhar a janela de dias/semanas ao redor de cada reunião do Copom e contar anúncios de M&amp;A antes/depois — um desenho mais próximo de causal do que a regressão de painel agregado.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Regressão quantílica: testar se o efeito da Selic é igual em meses de M&amp;A fraco e em meses de M&amp;A forte, em vez de assumir um único coeficiente médio — pode revelar heterogeneidade que a média esconde.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Síntese para a conclusão do TCC</w:t>
      </w:r>
    </w:p>
    <w:p>
      <w:pPr>
        <w:spacing w:after="140"/>
      </w:pPr>
      <w:r>
        <w:rPr>
          <w:sz w:val="21"/>
          <w:szCs w:val="21"/>
        </w:rPr>
        <w:t xml:space="preserve">Em uma frase: a Selic em nível 'explica' M&amp;A porque as duas séries têm tendências de longo prazo em direções opostas, o que é um artefato, não uma relação causal — mas quando a análise controla isso (variação da Selic, M&amp;A em log, estacionariedade respeitada), a Selic mostra um efeito de curto prazo (1 mês/1 semestre) estatisticamente significante e robusto entre duas frequências, e esse efeito é positivo, não negativo, o oposto do que a hipótese inicial do plano de trabalho previa — um resultado que vale a pena defender com as ressalvas acima, e não esconder.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2026-09-26T03:46:25.908Z</dcterms:created>
  <dcterms:modified xsi:type="dcterms:W3CDTF">2026-09-26T03:46:25.908Z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