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A Política Monetária afeta o volume de Fusões e Aquisições no Brasil?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Cenário MQO mensal com séries do SGS/BCB e Meta Selic — defasagens 0 a 12 em diferentes períodos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1. Resposta curta</w:t>
      </w:r>
    </w:p>
    <w:p>
      <w:pPr>
        <w:spacing w:after="140"/>
      </w:pPr>
      <w:r>
        <w:rPr>
          <w:sz w:val="21"/>
          <w:szCs w:val="21"/>
        </w:rPr>
        <w:t xml:space="preserve">Sim, há resultado estatisticamente significativo — mas ele não é um só, e a leitura para a pergunta do TCC depende de como a Selic entra no modelo. Os dois achados principais apontam em direções opostas, e os dois precisam aparecer no texto: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Nível da Meta Selic: relação NEGATIVA com M&amp;A, forte e estável (coeficientes de −0,035 a −0,047 por p.p., p&lt;0,001 em k = 1, 3, 6 e 12). Resiste à tendência linear, à inclusão da variação da Selic no mesmo modelo, à exclusão de 2020-2022 (p = 0,003) e passa no teste de cointegração (Engle-Granger, p = 0,0004). É a evidência a favor de H1.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Variação da Meta (decisões do Copom): relação POSITIVA, significativa em 7 das 13 defasagens (k = 0 a 5 e 7), com 3 sobrevivendo à correção para testes múltiplos (k = 0, 2 e 5). Mas é frágil: não aparece antes de 2015, enfraquece muito sem 2020-2022 (soma 0-3 cai de 0,37 para 0,19, p = 0,13) e, na janela móvel, só fica significativa quando a janela inclui 2022. É o oposto do sinal previsto em H1 e, junto com o VAR de Selic-surpresa (que não achou efeito do componente inesperado), é compatível com reação do Copom à conjuntura em vez de efeito causal.</w:t>
      </w:r>
    </w:p>
    <w:p>
      <w:pPr>
        <w:spacing w:after="140"/>
      </w:pPr>
      <w:r>
        <w:rPr>
          <w:sz w:val="21"/>
          <w:szCs w:val="21"/>
        </w:rPr>
        <w:t xml:space="preserve">Para o TCC: o resultado mais defensável é uma associação negativa e robusta entre o nível dos juros e o volume de M&amp;A (canal custo de capital), tratada como associação e não como causalidade comprovada; o sinal positivo de curto prazo deve ser apresentado como achado frágil e provavelmente endógeno. H2 (incerteza) e H3 (assimetria) não encontram suporte nos dados.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2. Quadro-resumo por hipótese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00"/>
        <w:gridCol w:w="2000"/>
      </w:tblGrid>
      <w:tr>
        <w:trPr>
          <w:cantSplit/>
          <w:tblHeader/>
        </w:trPr>
        <w:tc>
          <w:tcPr>
            <w:tcW w:type="dxa" w:w="2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Hipótese</w:t>
            </w:r>
          </w:p>
        </w:tc>
        <w:tc>
          <w:tcPr>
            <w:tcW w:type="dxa" w:w="4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os dados mostram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Veredito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H1 — Selic negativa sobre M&amp;A, defasagens 1, 3 e 6</w:t>
            </w:r>
          </w:p>
        </w:tc>
        <w:tc>
          <w:tcPr>
            <w:tcW w:type="dxa" w:w="4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Nível: negativo e significativo em todas as defasagens (p&lt;0,001). Variação (ΔMeta): positivo em k = 1 e 3 (p = 0,014 e 0,028) e nulo em k = 6.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Apoiada em nível; contrariada em variação (frágil)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H2 — Incerteza (IIE-Br) importa</w:t>
            </w:r>
          </w:p>
        </w:tc>
        <w:tc>
          <w:tcPr>
            <w:tcW w:type="dxa" w:w="4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IIE-Br não significativo, em variação (p = 0,3887) ou em nível (p = 0,7883). Atividade (ΔIBC-Br) é significativa e positiva.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 suporte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H3 — Assimetria aperto x corte</w:t>
            </w:r>
          </w:p>
        </w:tc>
        <w:tc>
          <w:tcPr>
            <w:tcW w:type="dxa" w:w="4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Aperto significativo (soma 0-3 = 0,51; p = 0,001); corte não (0,24; p = 0,13) — mas a diferença entre os dois não é significativa em nenhum modelo (p ≥ 0,24).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 suporte (não se rejeita simetria)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3. O que foi feito</w:t>
      </w:r>
    </w:p>
    <w:p>
      <w:pPr>
        <w:spacing w:after="140"/>
      </w:pPr>
      <w:r>
        <w:rPr>
          <w:sz w:val="21"/>
          <w:szCs w:val="21"/>
        </w:rPr>
        <w:t xml:space="preserve">Script novo, Código_TCC_MQO_SGS.py, com saídas em resultados_mqo_sgs/. Principais características: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 séries macro são baixadas direto da API do SGS/BCB, em blocos de 5 anos, com cache local (dados_sgs/): Meta Selic (432), IPCA (433), IBC-Br com ajuste sazonal (24364), câmbio (3695) e Selic 4189 só para checagem de consistência. Nada é copiado à mão para a planilha. Ibovespa (B3) e IIE-Br (FGV) não existem no SGS e continuam vindo da planilha.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Variável de política: variação mensal da Meta Selic no fim do mês (p.p.), que só muda por decisão do Copom — elimina o problema da série 4390 (que depende de dias úteis) apontado em 06/10. Com a Meta, o sinal deixa de alternar entre defasagens: a série da planilha dava +, −, +, − e a Meta dá positivo e estável de k = 0 a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Defasagem corrigida: k = 0 é a variação do mês corrente; k = 1, a do mês anterior; e assim até 12. (Nas versões 2-4, “lag 1” era a variação do próprio mês.)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Filtros da base mantidos no código (Completed, alvo Brazil, valor &gt; US$ 0,5 MM, % adquirida &gt; 50%): 2.292 operações.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Defasagens em diferentes períodos: grade k = 0..12 na amostra completa e em seis recortes; defasagem distribuída (efeito acumulado 0-3, 0-6 e 0-12); janela móvel de 10 anos; exclusão de anos e episódios; correção de Holm para os 13 testes.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Diagnóstico: Breusch-Godfrey (no lugar do Durbin-Watson), Breusch-Pagan, Jarque-Bera, VIF, ADF e KPSS, erros-padrão HAC (Newey-West, 6 defasagens).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4. Resultados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4.1 Variação da Meta: grade de defasagens (amostra completa)</w:t>
      </w:r>
    </w:p>
    <w:p>
      <w:pPr>
        <w:spacing w:after="140"/>
      </w:pPr>
      <w:r>
        <w:rPr>
          <w:sz w:val="21"/>
          <w:szCs w:val="21"/>
        </w:rPr>
        <w:t xml:space="preserve">Modelo: log(M&amp;A) em função de log(M&amp;A) defasado, ΔMeta no mês t − k, retorno do Ibovespa, ΔIBC-Br e dummy Covid; n = 228 (2006-01 a 2024-12) em todas as defasagens. O coeficiente é, aproximadamente, a variação percentual do número de operações para uma alta de 1 p.p. na Meta — uma decisão típica de 0,25 p.p. equivale a um quarto disso.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000"/>
        <w:gridCol w:w="1500"/>
        <w:gridCol w:w="2000"/>
      </w:tblGrid>
      <w:tr>
        <w:trPr>
          <w:cantSplit/>
          <w:tblHeader/>
        </w:trPr>
        <w:tc>
          <w:tcPr>
            <w:tcW w:type="dxa" w:w="2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Defasagem k (meses)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Coef. ΔMeta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Erro-padrão (HAC)</w:t>
            </w:r>
          </w:p>
        </w:tc>
        <w:tc>
          <w:tcPr>
            <w:tcW w:type="dxa" w:w="15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 ajustado (Holm)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0,280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0,068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0,0007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0,174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0,0139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0,1109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0,237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0,082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0,0044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0,0484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0,153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0,069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0,0279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0,1954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0,193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0,076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0,0120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0,1083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5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0,196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0,066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0,0033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0,0398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-0,001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0,062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0,9905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7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0,181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0,070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0,0099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0,0988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0,057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0,076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0,4530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9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0,015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0,069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0,8205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-0,052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0,074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0,4850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-0,044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0,085</w:t>
            </w:r>
          </w:p>
        </w:tc>
        <w:tc>
          <w:tcPr>
            <w:tcW w:type="dxa" w:w="15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0,6070</w:t>
            </w:r>
          </w:p>
        </w:tc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-0,059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0,076</w:t>
            </w:r>
          </w:p>
        </w:tc>
        <w:tc>
          <w:tcPr>
            <w:tcW w:type="dxa" w:w="15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0,4383</w:t>
            </w:r>
          </w:p>
        </w:tc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1,0000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drawing>
          <wp:inline distT="0" distB="0" distL="0" distR="0">
            <wp:extent cx="447675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Leitura: sete defasagens significativas a 5% (todas positivas); com Holm, três (k = 0, 2 e 5). Nenhuma defasagem negativa é significativa. Em k = 6 — uma das três defasagens do Projeto de Pesquisa — o coeficiente é zero (−0,0007; p = 0,99). Acrescentar IPCA e ΔIIE-Br como controles mantém o padrão (quadro completo em grade_defasagens_completo.csv).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4.2 Mesma grade em diferentes períodos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2300"/>
        <w:gridCol w:w="1900"/>
        <w:gridCol w:w="1200"/>
      </w:tblGrid>
      <w:tr>
        <w:trPr>
          <w:cantSplit/>
          <w:tblHeader/>
        </w:trPr>
        <w:tc>
          <w:tcPr>
            <w:tcW w:type="dxa" w:w="3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Defasagens (de 13) com p&lt;0,05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Quais k</w:t>
            </w:r>
          </w:p>
        </w:tc>
        <w:tc>
          <w:tcPr>
            <w:tcW w:type="dxa" w:w="12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Sinal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Completo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0, 1, 2, 3, 4, 5, 7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1ª metade (até 2014)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2ª metade (2015-2024)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0, 1, 2, 4, 5, 7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Covid (até 2019)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168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Pós-2016 (2016-2024)</w:t>
            </w:r>
          </w:p>
        </w:tc>
        <w:tc>
          <w:tcPr>
            <w:tcW w:type="dxa" w:w="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0, 1, 2, 3, 5, 7</w:t>
            </w:r>
          </w:p>
        </w:tc>
        <w:tc>
          <w:tcPr>
            <w:tcW w:type="dxa" w:w="12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Ciclo pós-Covid (2021-2024)</w:t>
            </w:r>
          </w:p>
        </w:tc>
        <w:tc>
          <w:tcPr>
            <w:tcW w:type="dxa" w:w="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0, 2, 3, 5, 7</w:t>
            </w:r>
          </w:p>
        </w:tc>
        <w:tc>
          <w:tcPr>
            <w:tcW w:type="dxa" w:w="12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60"/>
      </w:pPr>
      <w:r>
        <w:drawing>
          <wp:inline distT="0" distB="0" distL="0" distR="0">
            <wp:extent cx="447675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O efeito positivo está concentrado a partir de 2015 e, principalmente, no ciclo pós-Covid. Na primeira metade da amostra (até 2014) nenhuma defasagem é significativa; sem Covid (até 2019) a única significativa é k = 12, e com sinal negativo. Os recortes de 48 e 108 meses têm menos poder, então a ausência de significância neles não prova ausência de efeito — mas a coerência de sinal entre períodos também não existe antes de 2015.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4.3 Efeito acumulado (defasagem distribuída) e janela móvel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1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 (efeito acumulado = soma dos coef. de ΔMeta)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Soma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Erro-padrão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 da soma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 conjunto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0-3 | base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0,369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0,110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0,0030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0-6 | base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0,351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0,108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0,0014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0-12 | base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0,276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0,135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0,0419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0-3 | robustos (+IPCA, dIIE_Br)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0,337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0,116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0,0040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0,0202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0-6 | robustos (+IPCA, dIIE_Br)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0,303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0,117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0,0101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0-12 | robustos (+IPCA, dIIE_Br)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0,240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0,146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0,1013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A soma dos coeficientes de ΔMeta de t a t−3 é +0,37 (p = 0,0009) e o teste conjunto rejeita que todos sejam zero (p = 0,003). Com IPCA e ΔIIE-Br (câmbio ficou de fora nesta execução, ver seção 6), o resultado se mantém no horizonte curto (0-3: 0,34; p = 0,004) e perde significância em 0-12 (p = 0,10).</w:t>
      </w:r>
    </w:p>
    <w:p>
      <w:pPr>
        <w:spacing w:after="160"/>
      </w:pPr>
      <w:r>
        <w:drawing>
          <wp:inline distT="0" distB="0" distL="0" distR="0">
            <wp:extent cx="447675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sz w:val="21"/>
          <w:szCs w:val="21"/>
        </w:rPr>
        <w:t xml:space="preserve">Na janela móvel de 10 anos, o efeito acumulado 0-3 só é significativo em 29% das 109 janelas, e a primeira janela significativa termina em maio de 2022. Antes disso o intervalo de confiança sempre contém zero.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4.4 Quanto o resultado depende de 2020-2022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300"/>
        <w:gridCol w:w="1800"/>
        <w:gridCol w:w="1300"/>
        <w:gridCol w:w="900"/>
      </w:tblGrid>
      <w:tr>
        <w:trPr>
          <w:cantSplit/>
          <w:tblHeader/>
        </w:trPr>
        <w:tc>
          <w:tcPr>
            <w:tcW w:type="dxa" w:w="20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 excluído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Soma ΔMeta 0-3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18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Coef. nível (k=3)</w:t>
            </w:r>
          </w:p>
        </w:tc>
        <w:tc>
          <w:tcPr>
            <w:tcW w:type="dxa" w:w="1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(nenhum)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0,369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0,0009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-0,0410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2020-2022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0,195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0,1283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-0,0362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0,0032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2020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0,372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0,0012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-0,0418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2021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0,274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0,0133</w:t>
            </w:r>
          </w:p>
        </w:tc>
        <w:tc>
          <w:tcPr>
            <w:tcW w:type="dxa" w:w="18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-0,0340</w:t>
            </w:r>
          </w:p>
        </w:tc>
        <w:tc>
          <w:tcPr>
            <w:tcW w:type="dxa" w:w="1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0,0021</w:t>
            </w:r>
          </w:p>
        </w:tc>
        <w:tc>
          <w:tcPr>
            <w:tcW w:type="dxa" w:w="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216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2021-2022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0,207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0,0875</w:t>
            </w:r>
          </w:p>
        </w:tc>
        <w:tc>
          <w:tcPr>
            <w:tcW w:type="dxa" w:w="18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-0,0362</w:t>
            </w:r>
          </w:p>
        </w:tc>
        <w:tc>
          <w:tcPr>
            <w:tcW w:type="dxa" w:w="1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0,0011</w:t>
            </w:r>
          </w:p>
        </w:tc>
        <w:tc>
          <w:tcPr>
            <w:tcW w:type="dxa" w:w="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Excluir 2020-2022 derruba o efeito acumulado de 0,37 para 0,19 (p = 0,13). Excluir só 2021 já reduz para 0,27. Nenhum outro ano individual muda a conclusão (a tabela completa com os 19 anos está em influencia_episodios.csv). Já o coeficiente do nível mal se mexe: −0,041 na amostra completa e −0,036 sem 2020-2022 (p = 0,003). O efeito positivo de curto prazo depende de um episódio; o efeito negativo do nível, não.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4.5 Nível da Meta (H1 literal)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400"/>
        <w:gridCol w:w="2300"/>
        <w:gridCol w:w="14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Defasagem do nível da Meta</w:t>
            </w:r>
          </w:p>
        </w:tc>
        <w:tc>
          <w:tcPr>
            <w:tcW w:type="dxa" w:w="19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 tendência: coef.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 tendência linear: coef.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-0,0353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0,0007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-0,0318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0,0014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3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-0,0410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-0,0380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6</w:t>
            </w:r>
          </w:p>
        </w:tc>
        <w:tc>
          <w:tcPr>
            <w:tcW w:type="dxa" w:w="19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-0,0467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-0,0449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12</w:t>
            </w:r>
          </w:p>
        </w:tc>
        <w:tc>
          <w:tcPr>
            <w:tcW w:type="dxa" w:w="19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-0,0419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-0,0416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&lt;0,0001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Coeficientes de −0,032 a −0,047: com 1 p.p. a mais na Meta há, em média, de 3% a 5% menos operações por mês, mantido o resto. Colocar nível e variação no mesmo modelo não muda o quadro: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400"/>
        <w:gridCol w:w="2400"/>
        <w:gridCol w:w="1400"/>
      </w:tblGrid>
      <w:tr>
        <w:trPr>
          <w:cantSplit/>
          <w:tblHeader/>
        </w:trPr>
        <w:tc>
          <w:tcPr>
            <w:tcW w:type="dxa" w:w="23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Defasagem do nível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Coef. do nível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  <w:tc>
          <w:tcPr>
            <w:tcW w:type="dxa" w:w="2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Coef. de ΔMeta (mês t)</w:t>
            </w:r>
          </w:p>
        </w:tc>
        <w:tc>
          <w:tcPr>
            <w:tcW w:type="dxa" w:w="14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-0,0300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0,0023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0,247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-0,0333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0,0006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0,216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0,0010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-0,0382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0,0001</w:t>
            </w:r>
          </w:p>
        </w:tc>
        <w:tc>
          <w:tcPr>
            <w:tcW w:type="dxa" w:w="2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0,161</w:t>
            </w:r>
          </w:p>
        </w:tc>
        <w:tc>
          <w:tcPr>
            <w:tcW w:type="dxa" w:w="14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0,0228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= 12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B00020"/>
                <w:sz w:val="18"/>
                <w:szCs w:val="18"/>
              </w:rPr>
              <w:t xml:space="preserve">-0,0336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0,0003</w:t>
            </w:r>
          </w:p>
        </w:tc>
        <w:tc>
          <w:tcPr>
            <w:tcW w:type="dxa" w:w="2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0,155</w:t>
            </w:r>
          </w:p>
        </w:tc>
        <w:tc>
          <w:tcPr>
            <w:tcW w:type="dxa" w:w="14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0,0355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Esse resultado merece cuidado, porque ADF e KPSS discordam: o ADF rejeita raiz unitária para log(M&amp;A) e para a Meta (p ≈ 0,0005), mas o KPSS rejeita estacionariedade das duas (p ≈ 0,02). São séries muito persistentes. Para afastar regressão espúria, rodei o teste de cointegração de Engle-Granger: estatística -4,80 contra valor crítico de 5% de -3,36 (p = 0,0004) — as duas séries cointegram, o que dá base para tratar a relação em nível como relação de longo prazo e não como acaso de tendência. Isso reforça, mas não prova, causalidade: um terceiro fator que mova juros e fusões na mesma direção por anos (ciclo de commodities, crédito, risco-país) produziria o mesmo padrão.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4.6 H3 — assimetria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00"/>
        <w:gridCol w:w="1700"/>
        <w:gridCol w:w="1100"/>
        <w:gridCol w:w="1700"/>
      </w:tblGrid>
      <w:tr>
        <w:trPr>
          <w:cantSplit/>
          <w:tblHeader/>
        </w:trPr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Aperto (ΔMeta&gt;0)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Corte (ΔMeta&lt;0)</w:t>
            </w:r>
          </w:p>
        </w:tc>
        <w:tc>
          <w:tcPr>
            <w:tcW w:type="dxa" w:w="1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 (aperto = corte)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0,285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0,0043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0,276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0,0040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0,9513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0,242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0,0100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0,111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0,3364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0,4164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2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0,341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0,0004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0,140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0,2947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0,2372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0,171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0,1172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0,136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0,2103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0,8331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lag 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-0,068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0,5148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0,064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0,4543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0,3451</w:t>
            </w:r>
          </w:p>
        </w:tc>
      </w:tr>
      <w:tr>
        <w:trPr>
          <w:cantSplit/>
        </w:trPr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0,511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0,0013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0,241</w:t>
            </w:r>
          </w:p>
        </w:tc>
        <w:tc>
          <w:tcPr>
            <w:tcW w:type="dxa" w:w="1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0,1311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0,2531</w:t>
            </w:r>
          </w:p>
        </w:tc>
      </w:tr>
      <w:tr>
        <w:trPr>
          <w:cantSplit/>
        </w:trPr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acumulado 0-6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0,416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B5E20"/>
                <w:sz w:val="18"/>
                <w:szCs w:val="18"/>
              </w:rPr>
              <w:t xml:space="preserve">0,0074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0,285</w:t>
            </w:r>
          </w:p>
        </w:tc>
        <w:tc>
          <w:tcPr>
            <w:tcW w:type="dxa" w:w="1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0,1621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0,6540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Em todos os modelos o teste de igualdade entre aperto e corte tem p ≥ 0,24. O aperto é mais significativo que o corte nas defasagens 1 e 2 e no acumulado, mas a diferença entre os coeficientes não é estatisticamente distinguível de zero. Com 228 observações e cortes e altos concentrados em poucos ciclos, o teste tem pouco poder; o correto é dizer que não há evidência de assimetria, não que a simetria foi demonstrada.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4.7 H2 — incerteza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100"/>
        <w:gridCol w:w="1600"/>
      </w:tblGrid>
      <w:tr>
        <w:trPr>
          <w:cantSplit/>
          <w:tblHeader/>
        </w:trPr>
        <w:tc>
          <w:tcPr>
            <w:tcW w:type="dxa" w:w="3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Especificação do IIE-Br</w:t>
            </w:r>
          </w:p>
        </w:tc>
        <w:tc>
          <w:tcPr>
            <w:tcW w:type="dxa" w:w="17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Coeficiente</w:t>
            </w:r>
          </w:p>
        </w:tc>
        <w:tc>
          <w:tcPr>
            <w:tcW w:type="dxa" w:w="21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Erro-padrão (HAC)</w:t>
            </w:r>
          </w:p>
        </w:tc>
        <w:tc>
          <w:tcPr>
            <w:tcW w:type="dxa" w:w="1600"/>
            <w:shd w:fill="1F3864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p-valor</w:t>
            </w:r>
          </w:p>
        </w:tc>
      </w:tr>
      <w:tr>
        <w:trPr>
          <w:cantSplit/>
        </w:trPr>
        <w:tc>
          <w:tcPr>
            <w:tcW w:type="dxa" w:w="3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IIE-Br em variação (ΔIIE-Br)</w:t>
            </w:r>
          </w:p>
        </w:tc>
        <w:tc>
          <w:tcPr>
            <w:tcW w:type="dxa" w:w="17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-0,0031</w:t>
            </w:r>
          </w:p>
        </w:tc>
        <w:tc>
          <w:tcPr>
            <w:tcW w:type="dxa" w:w="21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0,0036</w:t>
            </w:r>
          </w:p>
        </w:tc>
        <w:tc>
          <w:tcPr>
            <w:tcW w:type="dxa" w:w="1600"/>
            <w:shd w:fill="F2F2F2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0,3887</w:t>
            </w:r>
          </w:p>
        </w:tc>
      </w:tr>
      <w:tr>
        <w:trPr>
          <w:cantSplit/>
        </w:trPr>
        <w:tc>
          <w:tcPr>
            <w:tcW w:type="dxa" w:w="3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IIE-Br em nível</w:t>
            </w:r>
          </w:p>
        </w:tc>
        <w:tc>
          <w:tcPr>
            <w:tcW w:type="dxa" w:w="17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-0,0008</w:t>
            </w:r>
          </w:p>
        </w:tc>
        <w:tc>
          <w:tcPr>
            <w:tcW w:type="dxa" w:w="21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0,0029</w:t>
            </w:r>
          </w:p>
        </w:tc>
        <w:tc>
          <w:tcPr>
            <w:tcW w:type="dxa" w:w="1600"/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757575"/>
                <w:sz w:val="18"/>
                <w:szCs w:val="18"/>
              </w:rPr>
              <w:t xml:space="preserve">0,7883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sz w:val="21"/>
          <w:szCs w:val="21"/>
        </w:rPr>
        <w:t xml:space="preserve">O IIE-Br não é significativo em nenhuma das duas formas. Entre os controles, só ΔIBC-Br (+0,019; p = 0,003) e a dummy Covid (p = 0,03 na versão em variação) se destacam. Isso é consistente com o papel de H2 no código como controle de robustez, e não como hipótese central.</w:t>
      </w:r>
    </w:p>
    <w:p>
      <w:pPr>
        <w:pStyle w:val="Heading2"/>
        <w:spacing w:after="100" w:before="220"/>
      </w:pPr>
      <w:r>
        <w:rPr>
          <w:b/>
          <w:bCs/>
          <w:color w:val="1F3864"/>
          <w:sz w:val="24"/>
          <w:szCs w:val="24"/>
        </w:rPr>
        <w:t xml:space="preserve">4.8 Diagnóstico</w:t>
      </w:r>
    </w:p>
    <w:p>
      <w:pPr>
        <w:spacing w:after="140"/>
      </w:pPr>
      <w:r>
        <w:rPr>
          <w:sz w:val="21"/>
          <w:szCs w:val="21"/>
        </w:rPr>
        <w:t xml:space="preserve">Nos seis modelos acumulados: sem autocorrelação residual (Breusch-Godfrey com 6 e 12 defasagens, p ≥ 0,08), normalidade dos resíduos não rejeitada (Jarque-Bera, p ≥ 0,12), multicolinearidade baixa (VIF máximo 3,1). O Breusch-Pagan indica heterocedasticidade leve em alguns (p entre 0,008 e 0,12), coberta pelos erros-padrão HAC. Todas as séries da variação (ΔMeta, ΔIBC-Br, ΔIIE-Br, Ibov_Ret, IPCA) são estacionárias pelos dois testes.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5. O que isso significa para a pergunta do TCC</w:t>
      </w:r>
    </w:p>
    <w:p>
      <w:pPr>
        <w:spacing w:after="140"/>
      </w:pPr>
      <w:r>
        <w:rPr>
          <w:sz w:val="21"/>
          <w:szCs w:val="21"/>
        </w:rPr>
        <w:t xml:space="preserve">A pergunta é se a política monetária afeta o volume de M&amp;A. O que os dados sustentam, em ordem de solidez: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Há uma associação negativa, estável e estatisticamente forte entre o nível da Selic e o número de operações. É a parte do resultado que resiste a todos os testes de robustez desta rodada e que dá suporte a H1 no sentido do Projeto de Pesquisa.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sinal positivo de curto prazo diante de decisões de alta é real na amostra, mas depende do ciclo 2020-2022 e não aparece antes de 2015. Combinado com o VAR de Selic-surpresa — em que a parte inesperada da decisão não tem efeito detectável —, a leitura mais provável é que o Copom sobe os juros quando a economia e o mercado de fusões já estão aquecidos.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Uma síntese coerente com os dois achados: o que se associa a menos M&amp;A é o regime de juros altos (a taxa em nível, previsível e persistente), e não a surpresa de cada reunião. Essa é uma interpretação minha, não um resultado testado diretamente; vale tratá-la como hipótese interpretativa no texto.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Nada aqui identifica causalidade. A Selic reage à conjuntura, e a ordem de grandeza do efeito em nível (3% a 5% por p.p.) pode misturar efeito de custo de capital com ciclo econômico comum.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6. Limitações e o que conferir ao rodar no seu computador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ambiente em que rodei não alcança a API do BCB. O código foi executado aqui com a Meta Selic vinda do cache que você já tinha baixado (dados_focus/selic_meta_sgs432.csv, SGS 432, a partir de dez/2004) e IPCA e IBC-Br vindos da planilha. O IBC-Br da planilha é a série 24363, sem ajuste sazonal (o código usa a 24364, com ajuste), e o câmbio (3695) não entrou. Isso aparece no console e no arquivo fontes_dados.csv, série por série.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Como o cache da Meta começa em dez/2004, a amostra comum da grade ficou em 2006-01 a 2024-12 (n = 228). No seu computador, com download desde 2003, ela começa em 2005-02 (n = 239), e o controle de câmbio entra nos modelos robustos.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Minha expectativa é que os coeficientes de ΔMeta e do nível mudem pouco, já que os controles trocados afetam sobretudo ΔIBC-Br, mas não conferi isso. Depois de rodar o script localmente, envie a pasta resultados_mqo_sgs (principalmente fontes_dados.csv) para eu confirmar se as conclusões acima se mantêm.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Meta no fim do mês significa que uma decisão no final do mês aparece em k = 0 mesmo que parte das operações do mês tenha sido anunciada antes dela. O coeficiente de k = 0 mistura, portanto, simultaneidade e efeito; k ≥ 1 é mais limpo, e os resultados de k = 1 a 5 continuam 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Treze testes na grade: sem correção, 7 significativos; com Holm, 3. Os resultados por período e a leitura por defasagem individual devem ser apresentados com essa ressalva.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relação em nível depende de séries muito persistentes (ADF e KPSS discordam). A cointegração ajuda, mas com uma amostra de 20 anos e poucos ciclos completos de juros a evidência é menos sólida do que o p-valor sugere.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28"/>
          <w:szCs w:val="28"/>
        </w:rPr>
        <w:t xml:space="preserve">7. Próximos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Rodar o script localmente e enviar a pasta de resultados, para confirmar os números com as séries 24364 e 3695 ao vivo.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Estimar um modelo de correção de erros (ECM) formal para separar de vez o efeito de longo prazo (nível) do ajuste de curto prazo, já que há cointegração.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Incluir um controle de ciclo comum para testar se o efeito em nível sobrevive: risco-país (EMBI), crédito ou commodities, o que atacaria a hipótese de terceiro fator.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Decidir com o orientador como apresentar os dois sinais: nível como resultado principal de H1 e a variação, com a Selic-surpresa, como análise de identificação e de robustez.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b7eaa691552c3e392c341dc0231b9d80d68dc97.png"/><Relationship Id="rId8" Type="http://schemas.openxmlformats.org/officeDocument/2006/relationships/image" Target="media/3d0f6f7100f4fb6c95e6981751bd8119dc2171b9.png"/><Relationship Id="rId9" Type="http://schemas.openxmlformats.org/officeDocument/2006/relationships/image" Target="media/640742790b15cb460f251f4b18c62f164cd751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2026-10-07T22:13:57.110Z</dcterms:created>
  <dcterms:modified xsi:type="dcterms:W3CDTF">2026-10-07T22:13:57.117Z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