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Diagnóstico do MQO mensal (SGS + Meta Selic)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Hipóteses do MQO, resíduos, normalidade, dummies, raiz unitária e alternativas de tratamento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Respostas diretas às suas perguntas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É MQO? Sim. É mínimos quadrados ordinários sobre log(nº de M&amp;A) mensal, com uma defasagem da própria variável dependente como regressor. A única diferença do MQO de livro-texto é o erro-padrão: uso Newey-West (HAC, 6 defasagens), que é válido mesmo se houver heterocedasticidade ou autocorrelação. Os coeficientes são os do MQO comum.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Há autocorrelação nos resíduos? Não. Breusch-Godfrey (ordens 1, 6 e 12) e Ljung-Box (12) não rejeitam em nenhum dos dois modelos (menor p = 0,12). A FAC/FACP dos resíduos fica dentro da banda de confiança, com pontos isolados nas defasagens 3-4 e 24 do M1 que não chegam a formar padrão. Observação: o Durbin-Watson (2,05 e 2,06) não pode ser usado aqui, porque é inválido com a dependente defasada entre os regressores.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Quais dummies? Uma só: Covid, igual a 1 de mar/2020 a dez/2020 e 0 no resto. Não há dummies sazonais (mês), de outlier nem de quebra estrutural no modelo-base. Além dela há a constante. Os demais regressores são contínuos: log(M&amp;A) defasado 1 mês, retorno do Ibovespa e variação do IBC-Br. As dummies de outlier aparecem apenas como alternativa de robustez (seção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resíduos são normais? Estão próximos de normais. Jarque-Bera p = 0,32 (M1) e 0,13 (M2); Shapiro-Wilk p = 0,23 e 0,059; assimetria de −0,24 e −0,30 (normal = 0) e curtose de 2,89 e 2,74 (normal = 3). Ou seja, uma leve cauda esquerda, sem caudas pesadas. Só 1 observação passa de 3 desvios no M1 (mai/2016) e nenhuma no M2.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Raiz unitária (ADF): ver seção 6. Resumo: ΔMeta, retorno do Ibovespa, ΔIBC-Br, IPCA e ΔIIE-Br são estacionárias; o IBC-Br em nível tem raiz unitária (por isso uso a variação); log(M&amp;A) é estacionária em torno de uma tendência; o nível da Meta Selic é o caso duvidoso (ADF rejeita raiz unitária, KPSS rejeita estacionariedade).</w:t>
      </w:r>
    </w:p>
    <w:p>
      <w:pPr>
        <w:spacing w:after="140"/>
      </w:pPr>
      <w:r>
        <w:rPr>
          <w:sz w:val="21"/>
          <w:szCs w:val="21"/>
        </w:rPr>
        <w:t xml:space="preserve">Em resumo: a suspeita de resíduos não normais e autocorrelacionados não se confirma nesses dois modelos. O que a bateria de testes aponta como ponto de atenção real é outro: a exogeneidade (seção 3) e uma heterocedasticidade leve só no M1.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Os dois modelos diagnosticados</w:t>
      </w:r>
    </w:p>
    <w:p>
      <w:pPr>
        <w:spacing w:after="140"/>
      </w:pPr>
      <w:r>
        <w:rPr>
          <w:sz w:val="21"/>
          <w:szCs w:val="21"/>
        </w:rPr>
        <w:t xml:space="preserve">M1 — variação da Meta: log(M&amp;A) em t explicado por ΔMeta em t, t-1, t-2 e t-3 (efeito acumulado 0-3), log(M&amp;A) em t-1, retorno do Ibovespa, ΔIBC-Br e dummy Covid. Efeito acumulado = +0,369 (HAC p = 0,0009).</w:t>
      </w:r>
    </w:p>
    <w:p>
      <w:pPr>
        <w:spacing w:after="140"/>
      </w:pPr>
      <w:r>
        <w:rPr>
          <w:sz w:val="21"/>
          <w:szCs w:val="21"/>
        </w:rPr>
        <w:t xml:space="preserve">M2 — nível da Meta: log(M&amp;A) em t explicado pelo nível da Meta defasado 3 meses, log(M&amp;A) em t-1, retorno do Ibovespa, ΔIBC-Br e dummy Covid. Coeficiente do nível = −0,041 (HAC p &lt; 0,0001). Amostra de jan/2006 a dez/2024 (n = 228).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As seis hipóteses do MQO — teste por teste</w:t>
      </w:r>
    </w:p>
    <w:p>
      <w:pPr>
        <w:spacing w:after="140"/>
      </w:pPr>
      <w:r>
        <w:rPr>
          <w:sz w:val="21"/>
          <w:szCs w:val="21"/>
        </w:rPr>
        <w:t xml:space="preserve">Numeração de Wooldridge para séries temporais: TS.1 linearidade nos parâmetros; TS.2 ausência de colinearidade perfeita; TS.3 média condicional zero (exogeneidade); TS.4 homocedasticidade; TS.5 ausência de autocorrelação; TS.6 normalidade. As cinco primeiras garantem o MQO não viesado e (com TS.4-TS.5) de variância mínima; a TS.6 só é necessária para inferência exata em amostra pequena.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3.1 M1 — variação da Meta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900"/>
        <w:gridCol w:w="900"/>
        <w:gridCol w:w="3300"/>
      </w:tblGrid>
      <w:tr>
        <w:trPr>
          <w:cantSplit/>
          <w:tblHeader/>
        </w:trPr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Hipótese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Teste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Estat.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3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TS.1 Linear nos parâmetros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RESET (Ramsey, ajustados²)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2,841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0,0933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forma funcional adequada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TS.1 (estabilidade dos parâmetros)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CUSUM de resíduos OLS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1,211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0,1065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parâmetros estáveis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TS.2 Sem colinearidade perfeita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VIF máximo / nº de condição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1,898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VIF máx 1.90; nº de condição 36 (VIF&lt;5 = sem problema)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TS.3 Exogeneidade (média condicional zero)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Teste de avanço: coef. da política em t+1 (HAC)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1,230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0,2200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 exogeneidade estrita em relação à Selic.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Breusch-Pagan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17,179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0,0283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REJEITA homocedasticidade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41,769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0,5247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 (no tempo)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ARCH-LM (6 defasagens)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2,313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0,8888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volatilidade agrupada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(1)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1,558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0,2120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(6)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7,991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0,2388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(12)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12,149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0,4338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Ljung-Box (12)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13,826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0,3120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(aviso)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Durbin-Watson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2,048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usar como teste: inválido com variável dependente defasada entre os regressores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TS.6 Normalidade dos erros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Jarque-Bera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2,257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0,3235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assimetria -0.24, curtose 2.89 (normal = 0 e 3) — não rejeita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TS.6 Normalidade dos erros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Shapiro-Wilk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0,992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0,2290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3.2 M2 — nível da Meta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900"/>
        <w:gridCol w:w="900"/>
        <w:gridCol w:w="3300"/>
      </w:tblGrid>
      <w:tr>
        <w:trPr>
          <w:cantSplit/>
          <w:tblHeader/>
        </w:trPr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Hipótese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Teste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Estat.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3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Leitura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TS.1 Linear nos parâmetros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RESET (Ramsey, ajustados²)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2,858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0,0923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forma funcional adequada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TS.1 (estabilidade dos parâmetros)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CUSUM de resíduos OLS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1,067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0,2046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parâmetros estáveis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TS.2 Sem colinearidade perfeita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VIF máximo / nº de condição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1,378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VIF máx 1.38; nº de condição 81 (VIF&lt;5 = sem problema)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TS.3 Exogeneidade (média condicional zero)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Teste de avanço: coef. da política em t+1 (HAC)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2,794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0,0057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REJEITA: a Selic futura ajuda a explicar M&amp;A de hoje (feedback / reação do Copom).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Breusch-Pagan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8,470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0,1321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White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21,697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0,2996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TS.4 Homocedasticidade (no tempo)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ARCH-LM (6 defasagens)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2,238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0,8966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volatilidade agrupada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(1)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2,482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0,1152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(6)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10,160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0,1181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Breusch-Godfrey (12)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14,696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0,2585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Sem autocorrelação serial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Ljung-Box (12)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16,068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0,1881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sem autocorrelação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TS.5 (aviso)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Durbin-Watson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2,063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usar como teste: inválido com variável dependente defasada entre os regressores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TS.6 Normalidade dos erros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Jarque-Bera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4,019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0,1341</w:t>
            </w:r>
          </w:p>
        </w:tc>
        <w:tc>
          <w:tcPr>
            <w:tcW w:type="dxa" w:w="3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assimetria -0.30, curtose 2.74 (normal = 0 e 3) — não rejeita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TS.6 Normalidade dos erros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Shapiro-Wilk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0,988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0,0587</w:t>
            </w:r>
          </w:p>
        </w:tc>
        <w:tc>
          <w:tcPr>
            <w:tcW w:type="dxa" w:w="3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rejeita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3.3 Como 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TS.1 e TS.2: sem problema. RESET não rejeita (p ≈ 0,09 em ambos, borderline mas aceitável), CUSUM indica parâmetros estáveis e o maior VIF é 1,9.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TS.3 é a hipótese mais frágil. Com log(M&amp;A) defasado como regressor a exogeneidade estrita nunca vale (só a contemporânea), o que torna o MQO consistente, mas levemente viesado em amostra finita. Além disso, o teste de avanço rejeita no M2 (p = 0,006): a Selic de t+1 ajuda a explicar M&amp;A de hoje, sinal de que o Copom reage à atividade, e portanto de que o coeficiente negativo do nível deve ser lido como associação, não como causalidade. No M1 o teste não rejeita (p = 0,22).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TS.4: o Breusch-Pagan rejeita homocedasticidade no M1 (p = 0,028), mas White (p = 0,52) e ARCH-LM (p = 0,89) não rejeitam, e no M2 nenhum rejeita. É heterocedasticidade leve e não persistente no tempo. Os gráficos de resíduos x ajustados não mostram o formato de funil.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TS.5 e TS.6: sem problema, como em 1.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Série temporal dos resíduos e comportamento do erro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Resíduos no tempo</w:t>
      </w:r>
    </w:p>
    <w:p>
      <w:pPr>
        <w:spacing w:after="160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1 — Resíduos do M1 (variação da Meta). Faixa cinza = dummy Covid; linhas tracejadas = ±2 desvios-padrão.</w:t>
      </w:r>
    </w:p>
    <w:p>
      <w:pPr>
        <w:spacing w:after="160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2 — Resíduos do M2 (nível da Meta). Os pontos mais baixos são ago/2009 e mai/2016.</w:t>
      </w:r>
    </w:p>
    <w:p>
      <w:pPr>
        <w:spacing w:after="140"/>
      </w:pPr>
      <w:r>
        <w:rPr>
          <w:sz w:val="21"/>
          <w:szCs w:val="21"/>
        </w:rPr>
        <w:t xml:space="preserve">A série oscila em torno de zero sem tendência, sem mudança visível de variância e sem períodos longos de resíduos do mesmo sinal. Os picos negativos de 2009 e 2016 são meses isolados; nenhum deles distorce os resultados (seção 5). Durante a janela Covid, controlada pela dummy, não aparece comportamento anormal.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Distribuição dos erros</w:t>
      </w:r>
    </w:p>
    <w:p>
      <w:pPr>
        <w:spacing w:after="160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3 — Normalidade dos resíduos do M1 (histograma com densidade normal, QQ-plot).</w:t>
      </w:r>
    </w:p>
    <w:p>
      <w:pPr>
        <w:spacing w:after="160"/>
      </w:pPr>
      <w:r>
        <w:drawing>
          <wp:inline distT="0" distB="0" distL="0" distR="0">
            <wp:extent cx="5715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4 — Normalidade dos resíduos do M2.</w:t>
      </w:r>
    </w:p>
    <w:p>
      <w:pPr>
        <w:spacing w:after="140"/>
      </w:pPr>
      <w:r>
        <w:rPr>
          <w:sz w:val="21"/>
          <w:szCs w:val="21"/>
        </w:rPr>
        <w:t xml:space="preserve">O histograma é simétrico o bastante e o QQ-plot segue a reta, com leve desvio na cauda esquerda. Coerente com os testes da seção 3.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4.3 Autocorrelação e heterocedasticidade</w:t>
      </w:r>
    </w:p>
    <w:p>
      <w:pPr>
        <w:spacing w:after="160"/>
      </w:pPr>
      <w:r>
        <w:drawing>
          <wp:inline distT="0" distB="0" distL="0" distR="0">
            <wp:extent cx="5715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5 — M1: FAC, FACP dos resíduos e FAC dos resíduos ao quadrado (efeito ARCH).</w:t>
      </w:r>
    </w:p>
    <w:p>
      <w:pPr>
        <w:spacing w:after="160"/>
      </w:pPr>
      <w:r>
        <w:drawing>
          <wp:inline distT="0" distB="0" distL="0" distR="0">
            <wp:extent cx="57150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6 — M2: mesmas funções.</w:t>
      </w:r>
    </w:p>
    <w:p>
      <w:pPr>
        <w:spacing w:after="160"/>
      </w:pPr>
      <w:r>
        <w:drawing>
          <wp:inline distT="0" distB="0" distL="0" distR="0">
            <wp:extent cx="3810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7 — M1: resíduos x valores ajustados (sem formato de funil).</w:t>
      </w:r>
    </w:p>
    <w:p>
      <w:pPr>
        <w:spacing w:after="160"/>
      </w:pPr>
      <w:r>
        <w:drawing>
          <wp:inline distT="0" distB="0" distL="0" distR="0">
            <wp:extent cx="3810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Figura 8 — M2: resíduos x valores ajustados.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Alternativas para heterocedasticidade e não normalidade</w:t>
      </w:r>
    </w:p>
    <w:p>
      <w:pPr>
        <w:spacing w:after="140"/>
      </w:pPr>
      <w:r>
        <w:rPr>
          <w:sz w:val="21"/>
          <w:szCs w:val="21"/>
        </w:rPr>
        <w:t xml:space="preserve">Reestimei o coeficiente-chave de cada modelo (efeito acumulado 0-3 de ΔMeta no M1; nível da Meta com defasagem 3 no M2) por onze métodos. Cada um ataca um problema diferente, e a tabela mostra se a conclusão muda.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5.1 M1 — efeito acumulado de ΔMeta (0-3)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800"/>
        <w:gridCol w:w="900"/>
        <w:gridCol w:w="1300"/>
        <w:gridCol w:w="2400"/>
      </w:tblGrid>
      <w:tr>
        <w:trPr>
          <w:cantSplit/>
          <w:tblHeader/>
        </w:trPr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Estimativa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 95%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corrige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 MQO, erros-padrão clássicos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0,097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[0,18 ; 0,56]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nada (só vale com todas as hipóteses)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 MQO + HC3 (White)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[0,18 ; 0,56]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 MQO + HAC Newey-West (6)  [padrão do script]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[0,15 ; 0,59]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+ autocorrelação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 FGLS/MQP (variância de Harvey) + HC3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0,436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[0,24 ; 0,63]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(modela a variância)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 GLSAR (Cochrane-Orcutt, ρ=-0.21)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0,263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0,082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[0,10 ; 0,42]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autocorrelação AR(1)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 MQO + 1 dummies de outlier (|t|&gt;3.0) + HAC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0,367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[0,15 ; 0,58]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caudas pesadas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 Regressão robusta (Huber)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0,403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[0,21 ; 0,60]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não normalidade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 Regressão mediana (quantil 0,5)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0,409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0,131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[0,15 ; 0,67]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não normalidade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9. Poisson (QML) + HAC — usa a contagem, sem log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0,351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0,114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0,0020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[0,13 ; 0,57]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natureza de contagem / não normalidade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10. Bootstrap em blocos (pares, bloco 6, 2000 réplicas)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0,116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0,0090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[0,10 ; 0,57]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depende de normalidade nem de forma da variância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 Wild bootstrap (Rademacher, 2000 réplicas)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0,369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[0,20 ; 0,54]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de forma desconhecida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5.2 M2 — nível da Meta (defasagem 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800"/>
        <w:gridCol w:w="900"/>
        <w:gridCol w:w="1300"/>
        <w:gridCol w:w="2400"/>
      </w:tblGrid>
      <w:tr>
        <w:trPr>
          <w:cantSplit/>
          <w:tblHeader/>
        </w:trPr>
        <w:tc>
          <w:tcPr>
            <w:tcW w:type="dxa" w:w="3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Estimativa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EP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p-valor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IC 95%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 que corrige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 MQO, erros-padrão clássicos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nada (só vale com todas as hipóteses)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 MQO + HC3 (White)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3. MQO + HAC Newey-West (6)  [padrão do script]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+ autocorrelação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4. FGLS/MQP (variância de Harvey) + HC3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-0,040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(modela a variância)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5. GLSAR (Cochrane-Orcutt, ρ=-0.23)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-0,029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[-0,05 ; -0,01]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autocorrelação AR(1)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6. MQO + 2 dummies de outlier (|t|&gt;2.5) + HAC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-0,040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caudas pesadas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7. Regressão robusta (Huber)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-0,042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0,010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não normalidade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8. Regressão mediana (quantil 0,5)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-0,039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0,013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0,0035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-0,01]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outliers / não normalidade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9. Poisson (QML) + HAC — usa a contagem, sem log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-0,038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natureza de contagem / não normalidade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10. Bootstrap em blocos (pares, bloco 6, 2000 réplicas)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0,0010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não depende de normalidade nem de forma da variância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11. Wild bootstrap (Rademacher, 2000 réplicas)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7"/>
                <w:szCs w:val="17"/>
              </w:rPr>
              <w:t xml:space="preserve">-0,041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0,009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7"/>
                <w:szCs w:val="17"/>
              </w:rPr>
              <w:t xml:space="preserve">0,0005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[-0,06 ; -0,02]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heterocedasticidade de forma desconhecida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5.3 Quando usar cada alternativa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Heterocedasticidade, só corrigir o erro-padrão: HC3 (White) ou HAC Newey-West. É o padrão para séries temporais, não muda os coeficientes e é o que o script usa. Wild bootstrap (Rademacher) é a versão por reamostragem, boa para amostra pequena.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Heterocedasticidade, modelar a variância: MQP/FGLS (variância de Harvey). Ganha eficiência se a forma da variância estiver certa; aqui a estimativa sobe para 0,44 no M1, mas dentro do IC dos demais.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Autocorrelação: GLSAR (Cochrane-Orcutt). O ρ estimado é pequeno e negativo (−0,21 e −0,23); a estimativa cai (0,26 e −0,029) porque o método elimina parte da variação, mas sinal e significância ficam.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normalidade e outliers: dummies para observações extremas (|t|&gt;3 no M1, |t|&gt;2,5 no M2); regressão robusta de Huber (reduz o peso dos extremos); regressão mediana (quantil 0,5), que não depende de média nem de normalidade; transformação logarítmica (já usada).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Natureza de contagem: Poisson por quase-verossimilhança com HAC, que usa o número de M&amp;A sem o log e dispensa normalidade. É a alternativa mais adequada se o orientador questionar o uso do 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Inferência sem hipótese de distribuição: bootstrap em blocos (blocos de 6 meses, 2.000 réplicas), que preserva a dependência temporal.</w:t>
      </w:r>
    </w:p>
    <w:p>
      <w:pPr>
        <w:spacing w:after="140"/>
      </w:pPr>
      <w:r>
        <w:rPr>
          <w:sz w:val="21"/>
          <w:szCs w:val="21"/>
        </w:rPr>
        <w:t xml:space="preserve">Leitura: nos onze métodos o sinal e a significância não mudam (M1 entre +0,26 e +0,44; M2 entre −0,029 e −0,042, todos com p &lt; 0,01). Portanto os resultados não dependem de como se trata heterocedasticidade ou não normalidade; o que realmente limita a interpretação é a exogeneidade (seção 3.3).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Teste de raiz unitária em cada variável</w:t>
      </w:r>
    </w:p>
    <w:p>
      <w:pPr>
        <w:spacing w:after="140"/>
      </w:pPr>
      <w:r>
        <w:rPr>
          <w:sz w:val="21"/>
          <w:szCs w:val="21"/>
        </w:rPr>
        <w:t xml:space="preserve">ADF com constante e com constante + tendência (H0: raiz unitária); KPSS como confirmação (H0: estacionária). Quando os dois concordam, a conclusão é segura. “c” = constante; “c+tend.” = constante e tendência. Os p-valores do KPSS são truncados em 0,01-0,10.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"/>
        <w:gridCol w:w="700"/>
        <w:gridCol w:w="800"/>
        <w:gridCol w:w="800"/>
        <w:gridCol w:w="800"/>
        <w:gridCol w:w="700"/>
        <w:gridCol w:w="700"/>
        <w:gridCol w:w="2650"/>
      </w:tblGrid>
      <w:tr>
        <w:trPr>
          <w:cantSplit/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Variável</w:t>
            </w:r>
          </w:p>
        </w:tc>
        <w:tc>
          <w:tcPr>
            <w:tcW w:type="dxa" w:w="4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ADF c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ADF c+t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KPSS c</w:t>
            </w:r>
          </w:p>
        </w:tc>
        <w:tc>
          <w:tcPr>
            <w:tcW w:type="dxa" w:w="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KPSS c+t</w:t>
            </w:r>
          </w:p>
        </w:tc>
        <w:tc>
          <w:tcPr>
            <w:tcW w:type="dxa" w:w="265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Conclusão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log(N_MA)  [dependente]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-4,29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0,0005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-4,53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0,0014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0,60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em torno de tendência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N_MA (contagem, nível)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-3,87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0,0022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-4,07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0,0071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0,55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0,10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em torno de tendência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Meta Selic (nível)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-4,32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0,0004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-4,07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0,0069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0,62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0,15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testes discordam / inconclusivo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ΔMeta Selic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-3,88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0,0022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-4,08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0,0068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0,15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Ibov_Ret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-13,66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-13,66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0,07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0,05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IBC-Br (nível)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-2,30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0,1723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-2,38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0,3928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1,34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0,37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raiz unitária / muito persistente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ΔIBC-Br (%)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-3,94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0,0018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-4,00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0,0087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IPCA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-7,99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-7,99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0,09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0,08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IIE-Br (nível)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-3,34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0,0133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-3,90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0,0121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1,07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 em torno de tendência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ΔIIE-Br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-8,84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-8,82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0,03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Resíduo M1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-15,53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-15,60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0,27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0,11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Resíduo M2</w:t>
            </w:r>
          </w:p>
        </w:tc>
        <w:tc>
          <w:tcPr>
            <w:tcW w:type="dxa" w:w="4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228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-5,79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-5,82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&lt;0,0001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0,19</w:t>
            </w:r>
          </w:p>
        </w:tc>
        <w:tc>
          <w:tcPr>
            <w:tcW w:type="dxa" w:w="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0,12</w:t>
            </w:r>
          </w:p>
        </w:tc>
        <w:tc>
          <w:tcPr>
            <w:tcW w:type="dxa" w:w="265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estacionária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Covid (dummy 0/1)</w:t>
            </w:r>
          </w:p>
        </w:tc>
        <w:tc>
          <w:tcPr>
            <w:tcW w:type="dxa" w:w="4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240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65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dummy — ADF não se aplica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6.1 O que isso significa para o modelo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IBC-Br em nível não é estacionário (ADF p = 0,17), por isso o modelo usa ΔIBC-Br, que é estacionária. Mesmo caso do IIE-Br, tratado em variação na especificação-base.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log(M&amp;A) rejeita raiz unitária no ADF, mas o KPSS com constante rejeita estacionariedade; com tendência os dois concordam: é estacionária em torno de uma tendência (a série de M&amp;A cresce no tempo). Isso justifica manter log(M&amp;A) defasado como regressor e vale checar uma tendência determinística como robustez.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nível da Meta Selic é inconclusivo: ADF rejeita raiz unitária (p &lt; 0,01) e o KPSS com tendência fica em 0,0495. Selic é persistente por construção e, em 2006-2024, passou por ciclos longos. O M2 (nível) é por isso o modelo mais sensível a regressão espúria; os atenuantes são que os resíduos do M2 são estacionários (ADF p &lt; 0,0001) e a cointegração de Engle-Granger foi aceita no cenário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resíduos do M1 e do M2 são estacionários, condição necessária para a regressão fazer sentido.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Limitações e próximos passos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números desta rodada vieram do ambiente da nuvem, que não alcança a API do Banco Central. Usei a Meta Selic já em cache, IPCA e IBC-Br (série 24363, sem ajuste sazonal) da planilha e não incluí câmbio. Para ter os números finais, rode `Diagnostico_MQO_SGS.py` na sua máquina, com a API acessível; a estrutura e as conclusões qualitativas devem se manter, mas os valores podem mudar na segunda ou terceira casa decimal.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teste de avanço do M2 (p = 0,006) sugere feedback. Se o orientador cobrar causalidade, a saída é mais próxima do VAR com Selic-surpresa (que não achou efeito do componente inesperado) ou de variáveis instrumentais.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Breusch-Pagan do M1 (p = 0,028) não sobrevive a White nem ao ARCH-LM; basta manter o erro-padrão HAC e citar HC3 e o bootstrap como robustez.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a07cec2c4f4f9b75ee5a937d3e7413bb18557f.png"/><Relationship Id="rId8" Type="http://schemas.openxmlformats.org/officeDocument/2006/relationships/image" Target="media/546122df77613abb236b5e4baf32a49ed40f25e5.png"/><Relationship Id="rId9" Type="http://schemas.openxmlformats.org/officeDocument/2006/relationships/image" Target="media/ce6f7750745790c2b387c0cc661756bb7a9f4371.png"/><Relationship Id="rId10" Type="http://schemas.openxmlformats.org/officeDocument/2006/relationships/image" Target="media/7902037061a98a99894aceb3e076834af15acc25.png"/><Relationship Id="rId11" Type="http://schemas.openxmlformats.org/officeDocument/2006/relationships/image" Target="media/8c45450abb5f3a9cd48e8f2d3021d5ae5920b10c.png"/><Relationship Id="rId12" Type="http://schemas.openxmlformats.org/officeDocument/2006/relationships/image" Target="media/6a56e5f2b2e25c5930d346d9d4ba1fe16a672e86.png"/><Relationship Id="rId13" Type="http://schemas.openxmlformats.org/officeDocument/2006/relationships/image" Target="media/348eaa8e921c04cfc2053a8e51aec17ec6ed4bbe.png"/><Relationship Id="rId14" Type="http://schemas.openxmlformats.org/officeDocument/2006/relationships/image" Target="media/78e8c01b2920d95b189da3890f86b4f962951fc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2026-10-07T22:26:40.588Z</dcterms:created>
  <dcterms:modified xsi:type="dcterms:W3CDTF">2026-10-07T22:26:40.588Z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