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de refonte de la page d’accueil</w:t>
      </w:r>
    </w:p>
    <w:p>
      <w:r>
        <w:rPr>
          <w:i/>
        </w:rPr>
        <w:t>Lazarègue Avocats  Cahier définitif de maquette et d’implémentation  Version 3 du 14 septembre 2026</w:t>
      </w:r>
    </w:p>
    <w:p>
      <w:r>
        <w:rPr>
          <w:b/>
        </w:rPr>
        <w:t xml:space="preserve">Objet. </w:t>
      </w:r>
      <w:r>
        <w:t>Cette fiche constitue la source de vérité pour la troisième maquette de la page d’accueil. Elle intègre l’audit UX, la confrontation avec les deux premières maquettes et les arbitrages définitifs du cabinet. Claude doit appliquer ces corrections ciblées sans refaire les parties désormais validées, puis seulement engager l’implémentation après validation de la maquette.</w:t>
      </w:r>
    </w:p>
    <w:p>
      <w:pPr>
        <w:pStyle w:val="Heading1"/>
      </w:pPr>
      <w:r>
        <w:t>Méthode de travail</w:t>
      </w:r>
    </w:p>
    <w:p>
      <w:pPr>
        <w:spacing w:after="40"/>
      </w:pPr>
      <w:r>
        <w:rPr>
          <w:b/>
        </w:rPr>
        <w:t xml:space="preserve">1. </w:t>
      </w:r>
      <w:r>
        <w:t>Figer cette fiche comme source de vérité pour la home.</w:t>
      </w:r>
    </w:p>
    <w:p>
      <w:pPr>
        <w:spacing w:after="40"/>
      </w:pPr>
      <w:r>
        <w:rPr>
          <w:b/>
        </w:rPr>
        <w:t xml:space="preserve">2. </w:t>
      </w:r>
      <w:r>
        <w:t>Créer une maquette fidèle au site existant, sans réinventer sa direction artistique.</w:t>
      </w:r>
    </w:p>
    <w:p>
      <w:pPr>
        <w:spacing w:after="40"/>
      </w:pPr>
      <w:r>
        <w:rPr>
          <w:b/>
        </w:rPr>
        <w:t xml:space="preserve">3. </w:t>
      </w:r>
      <w:r>
        <w:t>Présenter un rendu desktop à 1280 ou 1440 px et un rendu mobile à 390 px.</w:t>
      </w:r>
    </w:p>
    <w:p>
      <w:pPr>
        <w:spacing w:after="40"/>
      </w:pPr>
      <w:r>
        <w:rPr>
          <w:b/>
        </w:rPr>
        <w:t xml:space="preserve">4. </w:t>
      </w:r>
      <w:r>
        <w:t>Valider contenu, ordre, densité, interactions et responsive sur la maquette.</w:t>
      </w:r>
    </w:p>
    <w:p>
      <w:pPr>
        <w:spacing w:after="40"/>
      </w:pPr>
      <w:r>
        <w:rPr>
          <w:b/>
        </w:rPr>
        <w:t xml:space="preserve">5. </w:t>
      </w:r>
      <w:r>
        <w:t>Implémenter ensuite dans Claude Code par composants, avec tests de non-régression.</w:t>
      </w:r>
    </w:p>
    <w:p>
      <w:pPr>
        <w:spacing w:after="40"/>
      </w:pPr>
      <w:r>
        <w:rPr>
          <w:b/>
        </w:rPr>
        <w:t xml:space="preserve">6. </w:t>
      </w:r>
      <w:r>
        <w:t>Effectuer une recette finale visuelle, SEO, responsive, clavier et performance avant mise en ligne.</w:t>
      </w:r>
    </w:p>
    <w:p>
      <w:pPr>
        <w:spacing w:after="80"/>
      </w:pPr>
      <w:r>
        <w:rPr>
          <w:b/>
        </w:rPr>
        <w:t xml:space="preserve">Pourquoi cette méthode est la bonne. </w:t>
      </w:r>
      <w:r>
        <w:t>Elle sépare la décision de design de l’écriture du code. Elle évite d’accumuler des corrections successives dans les composants et réduit le risque d’usine à gaz. La maquette doit cependant rester techniquement réaliste et reprendre les composants existants chaque fois qu’ils sont satisfaisants.</w:t>
      </w:r>
    </w:p>
    <w:p>
      <w:pPr>
        <w:pStyle w:val="Heading1"/>
      </w:pPr>
      <w:r>
        <w:t>Décisions déjà arrêtées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4997"/>
            <w:shd w:fill="0A0F2E"/>
            <w:vAlign w:val="center"/>
            <w:tcMar>
              <w:top w:w="90" w:type="dxa"/>
              <w:start w:w="110" w:type="dxa"/>
              <w:bottom w:w="90" w:type="dxa"/>
              <w:end w:w="110" w:type="dxa"/>
            </w:tcMar>
          </w:tcPr>
          <w:p>
            <w:pPr>
              <w:jc w:val="center"/>
            </w:pPr>
            <w:r>
              <w:rPr>
                <w:b/>
                <w:color w:val="FFFFFF"/>
                <w:sz w:val="18"/>
              </w:rPr>
              <w:t>Sujet</w:t>
            </w:r>
          </w:p>
        </w:tc>
        <w:tc>
          <w:tcPr>
            <w:tcW w:type="dxa" w:w="4997"/>
            <w:shd w:fill="0A0F2E"/>
            <w:vAlign w:val="center"/>
            <w:tcMar>
              <w:top w:w="90" w:type="dxa"/>
              <w:start w:w="110" w:type="dxa"/>
              <w:bottom w:w="90" w:type="dxa"/>
              <w:end w:w="110" w:type="dxa"/>
            </w:tcMar>
          </w:tcPr>
          <w:p>
            <w:pPr>
              <w:jc w:val="center"/>
            </w:pPr>
            <w:r>
              <w:rPr>
                <w:b/>
                <w:color w:val="FFFFFF"/>
                <w:sz w:val="18"/>
              </w:rPr>
              <w:t>Décision ferme</w:t>
            </w:r>
          </w:p>
        </w:tc>
      </w:tr>
      <w:tr>
        <w:trPr>
          <w:cantSplit/>
        </w:trPr>
        <w:tc>
          <w:tcPr>
            <w:tcW w:type="dxa" w:w="2232"/>
            <w:vAlign w:val="center"/>
            <w:tcMar>
              <w:top w:w="90" w:type="dxa"/>
              <w:start w:w="110" w:type="dxa"/>
              <w:bottom w:w="90" w:type="dxa"/>
              <w:end w:w="110" w:type="dxa"/>
            </w:tcMar>
          </w:tcPr>
          <w:p>
            <w:pPr>
              <w:spacing w:after="0" w:line="252" w:lineRule="auto"/>
            </w:pPr>
            <w:r>
              <w:rPr>
                <w:sz w:val="17"/>
              </w:rPr>
              <w:t>Direction artistique</w:t>
            </w:r>
          </w:p>
        </w:tc>
        <w:tc>
          <w:tcPr>
            <w:tcW w:type="dxa" w:w="7488"/>
            <w:vAlign w:val="center"/>
            <w:tcMar>
              <w:top w:w="90" w:type="dxa"/>
              <w:start w:w="110" w:type="dxa"/>
              <w:bottom w:w="90" w:type="dxa"/>
              <w:end w:w="110" w:type="dxa"/>
            </w:tcMar>
          </w:tcPr>
          <w:p>
            <w:pPr>
              <w:spacing w:after="0" w:line="252" w:lineRule="auto"/>
            </w:pPr>
            <w:r>
              <w:rPr>
                <w:sz w:val="17"/>
              </w:rPr>
              <w:t>Conserver l’identité actuelle : bleu électrique, bleu nuit, blanc, typographie condensée du hero, alternance de fonds sombres et clairs.</w:t>
            </w:r>
          </w:p>
        </w:tc>
      </w:tr>
      <w:tr>
        <w:trPr>
          <w:cantSplit/>
        </w:trPr>
        <w:tc>
          <w:tcPr>
            <w:tcW w:type="dxa" w:w="2232"/>
            <w:vAlign w:val="center"/>
            <w:tcMar>
              <w:top w:w="90" w:type="dxa"/>
              <w:start w:w="110" w:type="dxa"/>
              <w:bottom w:w="90" w:type="dxa"/>
              <w:end w:w="110" w:type="dxa"/>
            </w:tcMar>
            <w:shd w:fill="F4F6FA"/>
          </w:tcPr>
          <w:p>
            <w:pPr>
              <w:spacing w:after="0" w:line="252" w:lineRule="auto"/>
            </w:pPr>
            <w:r>
              <w:rPr>
                <w:sz w:val="17"/>
              </w:rPr>
              <w:t>Hero</w:t>
            </w:r>
          </w:p>
        </w:tc>
        <w:tc>
          <w:tcPr>
            <w:tcW w:type="dxa" w:w="7488"/>
            <w:vAlign w:val="center"/>
            <w:tcMar>
              <w:top w:w="90" w:type="dxa"/>
              <w:start w:w="110" w:type="dxa"/>
              <w:bottom w:w="90" w:type="dxa"/>
              <w:end w:w="110" w:type="dxa"/>
            </w:tcMar>
            <w:shd w:fill="F4F6FA"/>
          </w:tcPr>
          <w:p>
            <w:pPr>
              <w:spacing w:after="0" w:line="252" w:lineRule="auto"/>
            </w:pPr>
            <w:r>
              <w:rPr>
                <w:sz w:val="17"/>
              </w:rPr>
              <w:t>Conserver le globe et le principe du terme tournant sur desktop. Sur mobile, afficher le globe figé et centré sur l’Europe.</w:t>
            </w:r>
          </w:p>
        </w:tc>
      </w:tr>
      <w:tr>
        <w:trPr>
          <w:cantSplit/>
        </w:trPr>
        <w:tc>
          <w:tcPr>
            <w:tcW w:type="dxa" w:w="2232"/>
            <w:vAlign w:val="center"/>
            <w:tcMar>
              <w:top w:w="90" w:type="dxa"/>
              <w:start w:w="110" w:type="dxa"/>
              <w:bottom w:w="90" w:type="dxa"/>
              <w:end w:w="110" w:type="dxa"/>
            </w:tcMar>
          </w:tcPr>
          <w:p>
            <w:pPr>
              <w:spacing w:after="0" w:line="252" w:lineRule="auto"/>
            </w:pPr>
            <w:r>
              <w:rPr>
                <w:sz w:val="17"/>
              </w:rPr>
              <w:t>Réseaux sociaux</w:t>
            </w:r>
          </w:p>
        </w:tc>
        <w:tc>
          <w:tcPr>
            <w:tcW w:type="dxa" w:w="7488"/>
            <w:vAlign w:val="center"/>
            <w:tcMar>
              <w:top w:w="90" w:type="dxa"/>
              <w:start w:w="110" w:type="dxa"/>
              <w:bottom w:w="90" w:type="dxa"/>
              <w:end w:w="110" w:type="dxa"/>
            </w:tcMar>
          </w:tcPr>
          <w:p>
            <w:pPr>
              <w:spacing w:after="0" w:line="252" w:lineRule="auto"/>
            </w:pPr>
            <w:r>
              <w:rPr>
                <w:sz w:val="17"/>
              </w:rPr>
              <w:t>Supprimer X. Conserver LinkedIn avec l’adresse www.linkedin.com/in/alexandre-lazarègue.</w:t>
            </w:r>
          </w:p>
        </w:tc>
      </w:tr>
      <w:tr>
        <w:trPr>
          <w:cantSplit/>
        </w:trPr>
        <w:tc>
          <w:tcPr>
            <w:tcW w:type="dxa" w:w="2232"/>
            <w:vAlign w:val="center"/>
            <w:tcMar>
              <w:top w:w="90" w:type="dxa"/>
              <w:start w:w="110" w:type="dxa"/>
              <w:bottom w:w="90" w:type="dxa"/>
              <w:end w:w="110" w:type="dxa"/>
            </w:tcMar>
            <w:shd w:fill="F4F6FA"/>
          </w:tcPr>
          <w:p>
            <w:pPr>
              <w:spacing w:after="0" w:line="252" w:lineRule="auto"/>
            </w:pPr>
            <w:r>
              <w:rPr>
                <w:sz w:val="17"/>
              </w:rPr>
              <w:t>URLs</w:t>
            </w:r>
          </w:p>
        </w:tc>
        <w:tc>
          <w:tcPr>
            <w:tcW w:type="dxa" w:w="7488"/>
            <w:vAlign w:val="center"/>
            <w:tcMar>
              <w:top w:w="90" w:type="dxa"/>
              <w:start w:w="110" w:type="dxa"/>
              <w:bottom w:w="90" w:type="dxa"/>
              <w:end w:w="110" w:type="dxa"/>
            </w:tcMar>
            <w:shd w:fill="F4F6FA"/>
          </w:tcPr>
          <w:p>
            <w:pPr>
              <w:spacing w:after="0" w:line="252" w:lineRule="auto"/>
            </w:pPr>
            <w:r>
              <w:rPr>
                <w:sz w:val="17"/>
              </w:rPr>
              <w:t>Toutes les pages de compétences doivent appartenir à /nos-domaines/.</w:t>
            </w:r>
          </w:p>
        </w:tc>
      </w:tr>
      <w:tr>
        <w:trPr>
          <w:cantSplit/>
        </w:trPr>
        <w:tc>
          <w:tcPr>
            <w:tcW w:type="dxa" w:w="2232"/>
            <w:vAlign w:val="center"/>
            <w:tcMar>
              <w:top w:w="90" w:type="dxa"/>
              <w:start w:w="110" w:type="dxa"/>
              <w:bottom w:w="90" w:type="dxa"/>
              <w:end w:w="110" w:type="dxa"/>
            </w:tcMar>
          </w:tcPr>
          <w:p>
            <w:pPr>
              <w:spacing w:after="0" w:line="252" w:lineRule="auto"/>
            </w:pPr>
            <w:r>
              <w:rPr>
                <w:sz w:val="17"/>
              </w:rPr>
              <w:t>Statistiques</w:t>
            </w:r>
          </w:p>
        </w:tc>
        <w:tc>
          <w:tcPr>
            <w:tcW w:type="dxa" w:w="7488"/>
            <w:vAlign w:val="center"/>
            <w:tcMar>
              <w:top w:w="90" w:type="dxa"/>
              <w:start w:w="110" w:type="dxa"/>
              <w:bottom w:w="90" w:type="dxa"/>
              <w:end w:w="110" w:type="dxa"/>
            </w:tcMar>
          </w:tcPr>
          <w:p>
            <w:pPr>
              <w:spacing w:after="0" w:line="252" w:lineRule="auto"/>
            </w:pPr>
            <w:r>
              <w:rPr>
                <w:sz w:val="17"/>
              </w:rPr>
              <w:t>Supprimer entièrement le bloc +73 % et 6 167.</w:t>
            </w:r>
          </w:p>
        </w:tc>
      </w:tr>
      <w:tr>
        <w:trPr>
          <w:cantSplit/>
        </w:trPr>
        <w:tc>
          <w:tcPr>
            <w:tcW w:type="dxa" w:w="2232"/>
            <w:vAlign w:val="center"/>
            <w:tcMar>
              <w:top w:w="90" w:type="dxa"/>
              <w:start w:w="110" w:type="dxa"/>
              <w:bottom w:w="90" w:type="dxa"/>
              <w:end w:w="110" w:type="dxa"/>
            </w:tcMar>
            <w:shd w:fill="F4F6FA"/>
          </w:tcPr>
          <w:p>
            <w:pPr>
              <w:spacing w:after="0" w:line="252" w:lineRule="auto"/>
            </w:pPr>
            <w:r>
              <w:rPr>
                <w:sz w:val="17"/>
              </w:rPr>
              <w:t>Cas pratiques</w:t>
            </w:r>
          </w:p>
        </w:tc>
        <w:tc>
          <w:tcPr>
            <w:tcW w:type="dxa" w:w="7488"/>
            <w:vAlign w:val="center"/>
            <w:tcMar>
              <w:top w:w="90" w:type="dxa"/>
              <w:start w:w="110" w:type="dxa"/>
              <w:bottom w:w="90" w:type="dxa"/>
              <w:end w:w="110" w:type="dxa"/>
            </w:tcMar>
            <w:shd w:fill="F4F6FA"/>
          </w:tcPr>
          <w:p>
            <w:pPr>
              <w:spacing w:after="0" w:line="252" w:lineRule="auto"/>
            </w:pPr>
            <w:r>
              <w:rPr>
                <w:sz w:val="17"/>
              </w:rPr>
              <w:t>Les remonter après Pourquoi nous et supprimer le retournement des cartes.</w:t>
            </w:r>
          </w:p>
        </w:tc>
      </w:tr>
      <w:tr>
        <w:trPr>
          <w:cantSplit/>
        </w:trPr>
        <w:tc>
          <w:tcPr>
            <w:tcW w:type="dxa" w:w="2232"/>
            <w:vAlign w:val="center"/>
            <w:tcMar>
              <w:top w:w="90" w:type="dxa"/>
              <w:start w:w="110" w:type="dxa"/>
              <w:bottom w:w="90" w:type="dxa"/>
              <w:end w:w="110" w:type="dxa"/>
            </w:tcMar>
          </w:tcPr>
          <w:p>
            <w:pPr>
              <w:spacing w:after="0" w:line="252" w:lineRule="auto"/>
            </w:pPr>
            <w:r>
              <w:rPr>
                <w:sz w:val="17"/>
              </w:rPr>
              <w:t>Portail client</w:t>
            </w:r>
          </w:p>
        </w:tc>
        <w:tc>
          <w:tcPr>
            <w:tcW w:type="dxa" w:w="7488"/>
            <w:vAlign w:val="center"/>
            <w:tcMar>
              <w:top w:w="90" w:type="dxa"/>
              <w:start w:w="110" w:type="dxa"/>
              <w:bottom w:w="90" w:type="dxa"/>
              <w:end w:w="110" w:type="dxa"/>
            </w:tcMar>
          </w:tcPr>
          <w:p>
            <w:pPr>
              <w:spacing w:after="0" w:line="252" w:lineRule="auto"/>
            </w:pPr>
            <w:r>
              <w:rPr>
                <w:sz w:val="17"/>
              </w:rPr>
              <w:t>Supprimer la petite carte Portail client de Pourquoi nous. Conserver uniquement le grand bloc portail et son illustration réelle.</w:t>
            </w:r>
          </w:p>
        </w:tc>
      </w:tr>
      <w:tr>
        <w:trPr>
          <w:cantSplit/>
        </w:trPr>
        <w:tc>
          <w:tcPr>
            <w:tcW w:type="dxa" w:w="2232"/>
            <w:vAlign w:val="center"/>
            <w:tcMar>
              <w:top w:w="90" w:type="dxa"/>
              <w:start w:w="110" w:type="dxa"/>
              <w:bottom w:w="90" w:type="dxa"/>
              <w:end w:w="110" w:type="dxa"/>
            </w:tcMar>
            <w:shd w:fill="F4F6FA"/>
          </w:tcPr>
          <w:p>
            <w:pPr>
              <w:spacing w:after="0" w:line="252" w:lineRule="auto"/>
            </w:pPr>
            <w:r>
              <w:rPr>
                <w:sz w:val="17"/>
              </w:rPr>
              <w:t>Icônes externes</w:t>
            </w:r>
          </w:p>
        </w:tc>
        <w:tc>
          <w:tcPr>
            <w:tcW w:type="dxa" w:w="7488"/>
            <w:vAlign w:val="center"/>
            <w:tcMar>
              <w:top w:w="90" w:type="dxa"/>
              <w:start w:w="110" w:type="dxa"/>
              <w:bottom w:w="90" w:type="dxa"/>
              <w:end w:w="110" w:type="dxa"/>
            </w:tcMar>
            <w:shd w:fill="F4F6FA"/>
          </w:tcPr>
          <w:p>
            <w:pPr>
              <w:spacing w:after="0" w:line="252" w:lineRule="auto"/>
            </w:pPr>
            <w:r>
              <w:rPr>
                <w:sz w:val="17"/>
              </w:rPr>
              <w:t>Pas d’action prioritaire, sauf impact de performance objectivement mesuré.</w:t>
            </w:r>
          </w:p>
        </w:tc>
      </w:tr>
      <w:tr>
        <w:trPr>
          <w:cantSplit/>
        </w:trPr>
        <w:tc>
          <w:tcPr>
            <w:tcW w:type="dxa" w:w="2232"/>
            <w:vAlign w:val="center"/>
            <w:tcMar>
              <w:top w:w="90" w:type="dxa"/>
              <w:start w:w="110" w:type="dxa"/>
              <w:bottom w:w="90" w:type="dxa"/>
              <w:end w:w="110" w:type="dxa"/>
            </w:tcMar>
          </w:tcPr>
          <w:p>
            <w:pPr>
              <w:spacing w:after="0" w:line="252" w:lineRule="auto"/>
            </w:pPr>
            <w:r>
              <w:rPr>
                <w:sz w:val="17"/>
              </w:rPr>
              <w:t>Formulaire</w:t>
            </w:r>
          </w:p>
        </w:tc>
        <w:tc>
          <w:tcPr>
            <w:tcW w:type="dxa" w:w="7488"/>
            <w:vAlign w:val="center"/>
            <w:tcMar>
              <w:top w:w="90" w:type="dxa"/>
              <w:start w:w="110" w:type="dxa"/>
              <w:bottom w:w="90" w:type="dxa"/>
              <w:end w:w="110" w:type="dxa"/>
            </w:tcMar>
          </w:tcPr>
          <w:p>
            <w:pPr>
              <w:spacing w:after="0" w:line="252" w:lineRule="auto"/>
            </w:pPr>
            <w:r>
              <w:rPr>
                <w:sz w:val="17"/>
              </w:rPr>
              <w:t>Hors périmètre de cette fiche ; la home doit seulement orienter correctement vers /contact.</w:t>
            </w:r>
          </w:p>
        </w:tc>
      </w:tr>
    </w:tbl>
    <w:p>
      <w:pPr>
        <w:spacing w:after="20"/>
      </w:pPr>
    </w:p>
    <w:p>
      <w:pPr>
        <w:pStyle w:val="Heading1"/>
      </w:pPr>
      <w:r>
        <w:t>Résultat attendu</w:t>
      </w:r>
    </w:p>
    <w:p>
      <w:pPr>
        <w:pStyle w:val="ListBullet"/>
        <w:spacing w:after="40"/>
      </w:pPr>
      <w:r>
        <w:t>La page doit rester immédiatement identifiable comme celle d’un cabinet d’avocats consacré au droit du numérique.</w:t>
      </w:r>
    </w:p>
    <w:p>
      <w:pPr>
        <w:pStyle w:val="ListBullet"/>
        <w:spacing w:after="40"/>
      </w:pPr>
      <w:r>
        <w:t>La cible principale est l’entreprise, en particulier PME et ETI, sans exclure le parcours particulier lié à la fraude bancaire.</w:t>
      </w:r>
    </w:p>
    <w:p>
      <w:pPr>
        <w:pStyle w:val="ListBullet"/>
        <w:spacing w:after="40"/>
      </w:pPr>
      <w:r>
        <w:t>Le visiteur doit comprendre en moins de cinq secondes qui intervient, sur quels sujets et comment prendre contact.</w:t>
      </w:r>
    </w:p>
    <w:p>
      <w:pPr>
        <w:pStyle w:val="ListBullet"/>
        <w:spacing w:after="40"/>
      </w:pPr>
      <w:r>
        <w:t>Les preuves du cabinet doivent arriver avant l’équipe et la presse.</w:t>
      </w:r>
    </w:p>
    <w:p>
      <w:pPr>
        <w:pStyle w:val="ListBullet"/>
        <w:spacing w:after="40"/>
      </w:pPr>
      <w:r>
        <w:t>Aucun contenu essentiel ne doit dépendre d’un survol, d’un retournement ou du bon déroulement d’une animation.</w:t>
      </w:r>
    </w:p>
    <w:p>
      <w:pPr>
        <w:pStyle w:val="ListBullet"/>
        <w:spacing w:after="40"/>
      </w:pPr>
      <w:r>
        <w:t>La page doit paraître plus directe et plus dense, sans perdre sa respiration ni son caractère premium.</w:t>
      </w:r>
    </w:p>
    <w:p>
      <w:pPr>
        <w:pStyle w:val="Heading1"/>
      </w:pPr>
      <w:r>
        <w:t>Architecture finale obligatoire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3331"/>
            <w:shd w:fill="0A0F2E"/>
            <w:vAlign w:val="center"/>
            <w:tcMar>
              <w:top w:w="90" w:type="dxa"/>
              <w:start w:w="110" w:type="dxa"/>
              <w:bottom w:w="90" w:type="dxa"/>
              <w:end w:w="110" w:type="dxa"/>
            </w:tcMar>
          </w:tcPr>
          <w:p>
            <w:pPr>
              <w:jc w:val="center"/>
            </w:pPr>
            <w:r>
              <w:rPr>
                <w:b/>
                <w:color w:val="FFFFFF"/>
                <w:sz w:val="18"/>
              </w:rPr>
              <w:t>Ordre</w:t>
            </w:r>
          </w:p>
        </w:tc>
        <w:tc>
          <w:tcPr>
            <w:tcW w:type="dxa" w:w="3331"/>
            <w:shd w:fill="0A0F2E"/>
            <w:vAlign w:val="center"/>
            <w:tcMar>
              <w:top w:w="90" w:type="dxa"/>
              <w:start w:w="110" w:type="dxa"/>
              <w:bottom w:w="90" w:type="dxa"/>
              <w:end w:w="110" w:type="dxa"/>
            </w:tcMar>
          </w:tcPr>
          <w:p>
            <w:pPr>
              <w:jc w:val="center"/>
            </w:pPr>
            <w:r>
              <w:rPr>
                <w:b/>
                <w:color w:val="FFFFFF"/>
                <w:sz w:val="18"/>
              </w:rPr>
              <w:t>Section</w:t>
            </w:r>
          </w:p>
        </w:tc>
        <w:tc>
          <w:tcPr>
            <w:tcW w:type="dxa" w:w="3331"/>
            <w:shd w:fill="0A0F2E"/>
            <w:vAlign w:val="center"/>
            <w:tcMar>
              <w:top w:w="90" w:type="dxa"/>
              <w:start w:w="110" w:type="dxa"/>
              <w:bottom w:w="90" w:type="dxa"/>
              <w:end w:w="110" w:type="dxa"/>
            </w:tcMar>
          </w:tcPr>
          <w:p>
            <w:pPr>
              <w:jc w:val="center"/>
            </w:pPr>
            <w:r>
              <w:rPr>
                <w:b/>
                <w:color w:val="FFFFFF"/>
                <w:sz w:val="18"/>
              </w:rPr>
              <w:t>Action principale</w:t>
            </w:r>
          </w:p>
        </w:tc>
      </w:tr>
      <w:tr>
        <w:trPr>
          <w:cantSplit/>
        </w:trPr>
        <w:tc>
          <w:tcPr>
            <w:tcW w:type="dxa" w:w="792"/>
            <w:vAlign w:val="center"/>
            <w:tcMar>
              <w:top w:w="90" w:type="dxa"/>
              <w:start w:w="110" w:type="dxa"/>
              <w:bottom w:w="90" w:type="dxa"/>
              <w:end w:w="110" w:type="dxa"/>
            </w:tcMar>
          </w:tcPr>
          <w:p>
            <w:pPr>
              <w:spacing w:after="0" w:line="252" w:lineRule="auto"/>
            </w:pPr>
            <w:r>
              <w:rPr>
                <w:sz w:val="17"/>
              </w:rPr>
              <w:t>1</w:t>
            </w:r>
          </w:p>
        </w:tc>
        <w:tc>
          <w:tcPr>
            <w:tcW w:type="dxa" w:w="3240"/>
            <w:vAlign w:val="center"/>
            <w:tcMar>
              <w:top w:w="90" w:type="dxa"/>
              <w:start w:w="110" w:type="dxa"/>
              <w:bottom w:w="90" w:type="dxa"/>
              <w:end w:w="110" w:type="dxa"/>
            </w:tcMar>
          </w:tcPr>
          <w:p>
            <w:pPr>
              <w:spacing w:after="0" w:line="252" w:lineRule="auto"/>
            </w:pPr>
            <w:r>
              <w:rPr>
                <w:sz w:val="17"/>
              </w:rPr>
              <w:t>Hero</w:t>
            </w:r>
          </w:p>
        </w:tc>
        <w:tc>
          <w:tcPr>
            <w:tcW w:type="dxa" w:w="5616"/>
            <w:vAlign w:val="center"/>
            <w:tcMar>
              <w:top w:w="90" w:type="dxa"/>
              <w:start w:w="110" w:type="dxa"/>
              <w:bottom w:w="90" w:type="dxa"/>
              <w:end w:w="110" w:type="dxa"/>
            </w:tcMar>
          </w:tcPr>
          <w:p>
            <w:pPr>
              <w:spacing w:after="0" w:line="252" w:lineRule="auto"/>
            </w:pPr>
            <w:r>
              <w:rPr>
                <w:sz w:val="17"/>
              </w:rPr>
              <w:t>Conserver et sécuriser le mot tournant</w:t>
            </w:r>
          </w:p>
        </w:tc>
      </w:tr>
      <w:tr>
        <w:trPr>
          <w:cantSplit/>
        </w:trPr>
        <w:tc>
          <w:tcPr>
            <w:tcW w:type="dxa" w:w="792"/>
            <w:vAlign w:val="center"/>
            <w:tcMar>
              <w:top w:w="90" w:type="dxa"/>
              <w:start w:w="110" w:type="dxa"/>
              <w:bottom w:w="90" w:type="dxa"/>
              <w:end w:w="110" w:type="dxa"/>
            </w:tcMar>
            <w:shd w:fill="F4F6FA"/>
          </w:tcPr>
          <w:p>
            <w:pPr>
              <w:spacing w:after="0" w:line="252" w:lineRule="auto"/>
            </w:pPr>
            <w:r>
              <w:rPr>
                <w:sz w:val="17"/>
              </w:rPr>
              <w:t>2</w:t>
            </w:r>
          </w:p>
        </w:tc>
        <w:tc>
          <w:tcPr>
            <w:tcW w:type="dxa" w:w="3240"/>
            <w:vAlign w:val="center"/>
            <w:tcMar>
              <w:top w:w="90" w:type="dxa"/>
              <w:start w:w="110" w:type="dxa"/>
              <w:bottom w:w="90" w:type="dxa"/>
              <w:end w:w="110" w:type="dxa"/>
            </w:tcMar>
            <w:shd w:fill="F4F6FA"/>
          </w:tcPr>
          <w:p>
            <w:pPr>
              <w:spacing w:after="0" w:line="252" w:lineRule="auto"/>
            </w:pPr>
            <w:r>
              <w:rPr>
                <w:sz w:val="17"/>
              </w:rPr>
              <w:t>Présentation du cabinet</w:t>
            </w:r>
          </w:p>
        </w:tc>
        <w:tc>
          <w:tcPr>
            <w:tcW w:type="dxa" w:w="5616"/>
            <w:vAlign w:val="center"/>
            <w:tcMar>
              <w:top w:w="90" w:type="dxa"/>
              <w:start w:w="110" w:type="dxa"/>
              <w:bottom w:w="90" w:type="dxa"/>
              <w:end w:w="110" w:type="dxa"/>
            </w:tcMar>
            <w:shd w:fill="F4F6FA"/>
          </w:tcPr>
          <w:p>
            <w:pPr>
              <w:spacing w:after="0" w:line="252" w:lineRule="auto"/>
            </w:pPr>
            <w:r>
              <w:rPr>
                <w:sz w:val="17"/>
              </w:rPr>
              <w:t>Clarifier la promesse et le CTA</w:t>
            </w:r>
          </w:p>
        </w:tc>
      </w:tr>
      <w:tr>
        <w:trPr>
          <w:cantSplit/>
        </w:trPr>
        <w:tc>
          <w:tcPr>
            <w:tcW w:type="dxa" w:w="792"/>
            <w:vAlign w:val="center"/>
            <w:tcMar>
              <w:top w:w="90" w:type="dxa"/>
              <w:start w:w="110" w:type="dxa"/>
              <w:bottom w:w="90" w:type="dxa"/>
              <w:end w:w="110" w:type="dxa"/>
            </w:tcMar>
          </w:tcPr>
          <w:p>
            <w:pPr>
              <w:spacing w:after="0" w:line="252" w:lineRule="auto"/>
            </w:pPr>
            <w:r>
              <w:rPr>
                <w:sz w:val="17"/>
              </w:rPr>
              <w:t>3</w:t>
            </w:r>
          </w:p>
        </w:tc>
        <w:tc>
          <w:tcPr>
            <w:tcW w:type="dxa" w:w="3240"/>
            <w:vAlign w:val="center"/>
            <w:tcMar>
              <w:top w:w="90" w:type="dxa"/>
              <w:start w:w="110" w:type="dxa"/>
              <w:bottom w:w="90" w:type="dxa"/>
              <w:end w:w="110" w:type="dxa"/>
            </w:tcMar>
          </w:tcPr>
          <w:p>
            <w:pPr>
              <w:spacing w:after="0" w:line="252" w:lineRule="auto"/>
            </w:pPr>
            <w:r>
              <w:rPr>
                <w:sz w:val="17"/>
              </w:rPr>
              <w:t>Domaines d’intervention</w:t>
            </w:r>
          </w:p>
        </w:tc>
        <w:tc>
          <w:tcPr>
            <w:tcW w:type="dxa" w:w="5616"/>
            <w:vAlign w:val="center"/>
            <w:tcMar>
              <w:top w:w="90" w:type="dxa"/>
              <w:start w:w="110" w:type="dxa"/>
              <w:bottom w:w="90" w:type="dxa"/>
              <w:end w:w="110" w:type="dxa"/>
            </w:tcMar>
          </w:tcPr>
          <w:p>
            <w:pPr>
              <w:spacing w:after="0" w:line="252" w:lineRule="auto"/>
            </w:pPr>
            <w:r>
              <w:rPr>
                <w:sz w:val="17"/>
              </w:rPr>
              <w:t>Regrouper 10 domaines en trois familles</w:t>
            </w:r>
          </w:p>
        </w:tc>
      </w:tr>
      <w:tr>
        <w:trPr>
          <w:cantSplit/>
        </w:trPr>
        <w:tc>
          <w:tcPr>
            <w:tcW w:type="dxa" w:w="792"/>
            <w:vAlign w:val="center"/>
            <w:tcMar>
              <w:top w:w="90" w:type="dxa"/>
              <w:start w:w="110" w:type="dxa"/>
              <w:bottom w:w="90" w:type="dxa"/>
              <w:end w:w="110" w:type="dxa"/>
            </w:tcMar>
            <w:shd w:fill="F4F6FA"/>
          </w:tcPr>
          <w:p>
            <w:pPr>
              <w:spacing w:after="0" w:line="252" w:lineRule="auto"/>
            </w:pPr>
            <w:r>
              <w:rPr>
                <w:sz w:val="17"/>
              </w:rPr>
              <w:t>4</w:t>
            </w:r>
          </w:p>
        </w:tc>
        <w:tc>
          <w:tcPr>
            <w:tcW w:type="dxa" w:w="3240"/>
            <w:vAlign w:val="center"/>
            <w:tcMar>
              <w:top w:w="90" w:type="dxa"/>
              <w:start w:w="110" w:type="dxa"/>
              <w:bottom w:w="90" w:type="dxa"/>
              <w:end w:w="110" w:type="dxa"/>
            </w:tcMar>
            <w:shd w:fill="F4F6FA"/>
          </w:tcPr>
          <w:p>
            <w:pPr>
              <w:spacing w:after="0" w:line="252" w:lineRule="auto"/>
            </w:pPr>
            <w:r>
              <w:rPr>
                <w:sz w:val="17"/>
              </w:rPr>
              <w:t>Pourquoi nous</w:t>
            </w:r>
          </w:p>
        </w:tc>
        <w:tc>
          <w:tcPr>
            <w:tcW w:type="dxa" w:w="5616"/>
            <w:vAlign w:val="center"/>
            <w:tcMar>
              <w:top w:w="90" w:type="dxa"/>
              <w:start w:w="110" w:type="dxa"/>
              <w:bottom w:w="90" w:type="dxa"/>
              <w:end w:w="110" w:type="dxa"/>
            </w:tcMar>
            <w:shd w:fill="F4F6FA"/>
          </w:tcPr>
          <w:p>
            <w:pPr>
              <w:spacing w:after="0" w:line="252" w:lineRule="auto"/>
            </w:pPr>
            <w:r>
              <w:rPr>
                <w:sz w:val="17"/>
              </w:rPr>
              <w:t>Trois cartes illustrées puis un grand bloc portail</w:t>
            </w:r>
          </w:p>
        </w:tc>
      </w:tr>
      <w:tr>
        <w:trPr>
          <w:cantSplit/>
        </w:trPr>
        <w:tc>
          <w:tcPr>
            <w:tcW w:type="dxa" w:w="792"/>
            <w:vAlign w:val="center"/>
            <w:tcMar>
              <w:top w:w="90" w:type="dxa"/>
              <w:start w:w="110" w:type="dxa"/>
              <w:bottom w:w="90" w:type="dxa"/>
              <w:end w:w="110" w:type="dxa"/>
            </w:tcMar>
          </w:tcPr>
          <w:p>
            <w:pPr>
              <w:spacing w:after="0" w:line="252" w:lineRule="auto"/>
            </w:pPr>
            <w:r>
              <w:rPr>
                <w:sz w:val="17"/>
              </w:rPr>
              <w:t>5</w:t>
            </w:r>
          </w:p>
        </w:tc>
        <w:tc>
          <w:tcPr>
            <w:tcW w:type="dxa" w:w="3240"/>
            <w:vAlign w:val="center"/>
            <w:tcMar>
              <w:top w:w="90" w:type="dxa"/>
              <w:start w:w="110" w:type="dxa"/>
              <w:bottom w:w="90" w:type="dxa"/>
              <w:end w:w="110" w:type="dxa"/>
            </w:tcMar>
          </w:tcPr>
          <w:p>
            <w:pPr>
              <w:spacing w:after="0" w:line="252" w:lineRule="auto"/>
            </w:pPr>
            <w:r>
              <w:rPr>
                <w:sz w:val="17"/>
              </w:rPr>
              <w:t>Cas pratiques</w:t>
            </w:r>
          </w:p>
        </w:tc>
        <w:tc>
          <w:tcPr>
            <w:tcW w:type="dxa" w:w="5616"/>
            <w:vAlign w:val="center"/>
            <w:tcMar>
              <w:top w:w="90" w:type="dxa"/>
              <w:start w:w="110" w:type="dxa"/>
              <w:bottom w:w="90" w:type="dxa"/>
              <w:end w:w="110" w:type="dxa"/>
            </w:tcMar>
          </w:tcPr>
          <w:p>
            <w:pPr>
              <w:spacing w:after="0" w:line="252" w:lineRule="auto"/>
            </w:pPr>
            <w:r>
              <w:rPr>
                <w:sz w:val="17"/>
              </w:rPr>
              <w:t>Remonter et afficher le contenu directement</w:t>
            </w:r>
          </w:p>
        </w:tc>
      </w:tr>
      <w:tr>
        <w:trPr>
          <w:cantSplit/>
        </w:trPr>
        <w:tc>
          <w:tcPr>
            <w:tcW w:type="dxa" w:w="792"/>
            <w:vAlign w:val="center"/>
            <w:tcMar>
              <w:top w:w="90" w:type="dxa"/>
              <w:start w:w="110" w:type="dxa"/>
              <w:bottom w:w="90" w:type="dxa"/>
              <w:end w:w="110" w:type="dxa"/>
            </w:tcMar>
            <w:shd w:fill="F4F6FA"/>
          </w:tcPr>
          <w:p>
            <w:pPr>
              <w:spacing w:after="0" w:line="252" w:lineRule="auto"/>
            </w:pPr>
            <w:r>
              <w:rPr>
                <w:sz w:val="17"/>
              </w:rPr>
              <w:t>6</w:t>
            </w:r>
          </w:p>
        </w:tc>
        <w:tc>
          <w:tcPr>
            <w:tcW w:type="dxa" w:w="3240"/>
            <w:vAlign w:val="center"/>
            <w:tcMar>
              <w:top w:w="90" w:type="dxa"/>
              <w:start w:w="110" w:type="dxa"/>
              <w:bottom w:w="90" w:type="dxa"/>
              <w:end w:w="110" w:type="dxa"/>
            </w:tcMar>
            <w:shd w:fill="F4F6FA"/>
          </w:tcPr>
          <w:p>
            <w:pPr>
              <w:spacing w:after="0" w:line="252" w:lineRule="auto"/>
            </w:pPr>
            <w:r>
              <w:rPr>
                <w:sz w:val="17"/>
              </w:rPr>
              <w:t>Équipe</w:t>
            </w:r>
          </w:p>
        </w:tc>
        <w:tc>
          <w:tcPr>
            <w:tcW w:type="dxa" w:w="5616"/>
            <w:vAlign w:val="center"/>
            <w:tcMar>
              <w:top w:w="90" w:type="dxa"/>
              <w:start w:w="110" w:type="dxa"/>
              <w:bottom w:w="90" w:type="dxa"/>
              <w:end w:w="110" w:type="dxa"/>
            </w:tcMar>
            <w:shd w:fill="F4F6FA"/>
          </w:tcPr>
          <w:p>
            <w:pPr>
              <w:spacing w:after="0" w:line="252" w:lineRule="auto"/>
            </w:pPr>
            <w:r>
              <w:rPr>
                <w:sz w:val="17"/>
              </w:rPr>
              <w:t>Conserver, harmoniser progressivement les portraits</w:t>
            </w:r>
          </w:p>
        </w:tc>
      </w:tr>
      <w:tr>
        <w:trPr>
          <w:cantSplit/>
        </w:trPr>
        <w:tc>
          <w:tcPr>
            <w:tcW w:type="dxa" w:w="792"/>
            <w:vAlign w:val="center"/>
            <w:tcMar>
              <w:top w:w="90" w:type="dxa"/>
              <w:start w:w="110" w:type="dxa"/>
              <w:bottom w:w="90" w:type="dxa"/>
              <w:end w:w="110" w:type="dxa"/>
            </w:tcMar>
          </w:tcPr>
          <w:p>
            <w:pPr>
              <w:spacing w:after="0" w:line="252" w:lineRule="auto"/>
            </w:pPr>
            <w:r>
              <w:rPr>
                <w:sz w:val="17"/>
              </w:rPr>
              <w:t>7</w:t>
            </w:r>
          </w:p>
        </w:tc>
        <w:tc>
          <w:tcPr>
            <w:tcW w:type="dxa" w:w="3240"/>
            <w:vAlign w:val="center"/>
            <w:tcMar>
              <w:top w:w="90" w:type="dxa"/>
              <w:start w:w="110" w:type="dxa"/>
              <w:bottom w:w="90" w:type="dxa"/>
              <w:end w:w="110" w:type="dxa"/>
            </w:tcMar>
          </w:tcPr>
          <w:p>
            <w:pPr>
              <w:spacing w:after="0" w:line="252" w:lineRule="auto"/>
            </w:pPr>
            <w:r>
              <w:rPr>
                <w:sz w:val="17"/>
              </w:rPr>
              <w:t>Contributions et presse</w:t>
            </w:r>
          </w:p>
        </w:tc>
        <w:tc>
          <w:tcPr>
            <w:tcW w:type="dxa" w:w="5616"/>
            <w:vAlign w:val="center"/>
            <w:tcMar>
              <w:top w:w="90" w:type="dxa"/>
              <w:start w:w="110" w:type="dxa"/>
              <w:bottom w:w="90" w:type="dxa"/>
              <w:end w:w="110" w:type="dxa"/>
            </w:tcMar>
          </w:tcPr>
          <w:p>
            <w:pPr>
              <w:spacing w:after="0" w:line="252" w:lineRule="auto"/>
            </w:pPr>
            <w:r>
              <w:rPr>
                <w:sz w:val="17"/>
              </w:rPr>
              <w:t>Recentrer sur quatre références numériques</w:t>
            </w:r>
          </w:p>
        </w:tc>
      </w:tr>
      <w:tr>
        <w:trPr>
          <w:cantSplit/>
        </w:trPr>
        <w:tc>
          <w:tcPr>
            <w:tcW w:type="dxa" w:w="792"/>
            <w:vAlign w:val="center"/>
            <w:tcMar>
              <w:top w:w="90" w:type="dxa"/>
              <w:start w:w="110" w:type="dxa"/>
              <w:bottom w:w="90" w:type="dxa"/>
              <w:end w:w="110" w:type="dxa"/>
            </w:tcMar>
            <w:shd w:fill="F4F6FA"/>
          </w:tcPr>
          <w:p>
            <w:pPr>
              <w:spacing w:after="0" w:line="252" w:lineRule="auto"/>
            </w:pPr>
            <w:r>
              <w:rPr>
                <w:sz w:val="17"/>
              </w:rPr>
              <w:t>8</w:t>
            </w:r>
          </w:p>
        </w:tc>
        <w:tc>
          <w:tcPr>
            <w:tcW w:type="dxa" w:w="3240"/>
            <w:vAlign w:val="center"/>
            <w:tcMar>
              <w:top w:w="90" w:type="dxa"/>
              <w:start w:w="110" w:type="dxa"/>
              <w:bottom w:w="90" w:type="dxa"/>
              <w:end w:w="110" w:type="dxa"/>
            </w:tcMar>
            <w:shd w:fill="F4F6FA"/>
          </w:tcPr>
          <w:p>
            <w:pPr>
              <w:spacing w:after="0" w:line="252" w:lineRule="auto"/>
            </w:pPr>
            <w:r>
              <w:rPr>
                <w:sz w:val="17"/>
              </w:rPr>
              <w:t>Appel final et footer</w:t>
            </w:r>
          </w:p>
        </w:tc>
        <w:tc>
          <w:tcPr>
            <w:tcW w:type="dxa" w:w="5616"/>
            <w:vAlign w:val="center"/>
            <w:tcMar>
              <w:top w:w="90" w:type="dxa"/>
              <w:start w:w="110" w:type="dxa"/>
              <w:bottom w:w="90" w:type="dxa"/>
              <w:end w:w="110" w:type="dxa"/>
            </w:tcMar>
            <w:shd w:fill="F4F6FA"/>
          </w:tcPr>
          <w:p>
            <w:pPr>
              <w:spacing w:after="0" w:line="252" w:lineRule="auto"/>
            </w:pPr>
            <w:r>
              <w:rPr>
                <w:sz w:val="17"/>
              </w:rPr>
              <w:t>Conserver, réparer liens et cohérence</w:t>
            </w:r>
          </w:p>
        </w:tc>
      </w:tr>
    </w:tbl>
    <w:p>
      <w:pPr>
        <w:spacing w:after="20"/>
      </w:pPr>
    </w:p>
    <w:p>
      <w:pPr>
        <w:pStyle w:val="Heading1"/>
      </w:pPr>
      <w:r>
        <w:t>1 Hero</w:t>
      </w:r>
    </w:p>
    <w:p>
      <w:pPr>
        <w:spacing w:after="80"/>
      </w:pPr>
      <w:r>
        <w:rPr>
          <w:b/>
        </w:rPr>
        <w:t xml:space="preserve">Conserver. </w:t>
      </w:r>
      <w:r>
        <w:t>Le fond sombre, le globe, le badge Paris depuis 2016, le rythme général, le bouton primaire et la force typographique.</w:t>
      </w:r>
    </w:p>
    <w:p>
      <w:pPr>
        <w:spacing w:after="80"/>
      </w:pPr>
      <w:r>
        <w:rPr>
          <w:b/>
        </w:rPr>
        <w:t xml:space="preserve">H1. </w:t>
      </w:r>
      <w:r>
        <w:t>Un seul H1 doit exister. Conserver le principe tournant, mais construire chaque état comme une phrase française naturelle. L’intitulé accessible et le contenu initial doivent rester stables et compréhensibles.</w:t>
      </w:r>
    </w:p>
    <w:p>
      <w:pPr>
        <w:spacing w:after="80"/>
      </w:pPr>
      <w:r>
        <w:rPr>
          <w:b/>
        </w:rPr>
        <w:t xml:space="preserve">Termes tournants. </w:t>
      </w:r>
      <w:r>
        <w:t>droit des contrats informatiques ; droit de la cybersécurité ; droit des données personnelles ; droit de l’intelligence artificielle ; droit de la cybercriminalité ; droit des réseaux sociaux ; droit de la fraude numérique.</w:t>
      </w:r>
    </w:p>
    <w:p>
      <w:pPr>
        <w:spacing w:after="80"/>
      </w:pPr>
      <w:r>
        <w:rPr>
          <w:b/>
        </w:rPr>
        <w:t xml:space="preserve">Sous-titre retenu. </w:t>
      </w:r>
      <w:r>
        <w:t>« Conseil juridique et défense des entreprises confrontées aux risques, projets et contentieux numériques. » Le sous-titre doit être un paragraphe, pas un H2.</w:t>
      </w:r>
    </w:p>
    <w:p>
      <w:pPr>
        <w:spacing w:after="80"/>
      </w:pPr>
      <w:r>
        <w:rPr>
          <w:b/>
        </w:rPr>
        <w:t xml:space="preserve">CTA. </w:t>
      </w:r>
      <w:r>
        <w:t>Conserver une action primaire explicite vers /contact. Remplacer « Parler à un avocat » par « Exposer votre situation à un avocat » si ce libellé est retenu sur l’ensemble du site.</w:t>
      </w:r>
    </w:p>
    <w:p>
      <w:pPr>
        <w:pStyle w:val="Heading2"/>
      </w:pPr>
      <w:r>
        <w:t>Règles du mot tournant</w:t>
      </w:r>
    </w:p>
    <w:p>
      <w:pPr>
        <w:pStyle w:val="ListBullet"/>
        <w:spacing w:after="40"/>
      </w:pPr>
      <w:r>
        <w:t>Le premier rendu contient un terme réel dans le DOM ; aucun H1 vide ou assemblé seulement après JavaScript.</w:t>
      </w:r>
    </w:p>
    <w:p>
      <w:pPr>
        <w:pStyle w:val="ListBullet"/>
        <w:spacing w:after="40"/>
      </w:pPr>
      <w:r>
        <w:t>Chaque terme reste visible environ deux secondes ; transition courte et sans clignotement.</w:t>
      </w:r>
    </w:p>
    <w:p>
      <w:pPr>
        <w:pStyle w:val="ListBullet"/>
        <w:spacing w:after="40"/>
      </w:pPr>
      <w:r>
        <w:t>Réserver l’espace nécessaire à l’état le plus long « droit de l’intelligence artificielle » sur desktop.</w:t>
      </w:r>
    </w:p>
    <w:p>
      <w:pPr>
        <w:pStyle w:val="ListBullet"/>
        <w:spacing w:after="40"/>
      </w:pPr>
      <w:r>
        <w:t>Sur mobile, autoriser le retour à la ligne ; ne jamais réduire le texte jusqu’à le rendre illisible.</w:t>
      </w:r>
    </w:p>
    <w:p>
      <w:pPr>
        <w:pStyle w:val="ListBullet"/>
        <w:spacing w:after="40"/>
      </w:pPr>
      <w:r>
        <w:t>Aucun terme ne doit passer derrière le globe ou être tronqué.</w:t>
      </w:r>
    </w:p>
    <w:p>
      <w:pPr>
        <w:pStyle w:val="ListBullet"/>
        <w:spacing w:after="40"/>
      </w:pPr>
      <w:r>
        <w:t>Avec prefers-reduced-motion, afficher un terme stable sans rotation.</w:t>
      </w:r>
    </w:p>
    <w:p>
      <w:pPr>
        <w:pStyle w:val="ListBullet"/>
        <w:spacing w:after="40"/>
      </w:pPr>
      <w:r>
        <w:t>Ne pas annoncer chaque changement automatiquement au lecteur d’écran ; l’intitulé accessible du H1 doit rester stable et intelligible.</w:t>
      </w:r>
    </w:p>
    <w:p>
      <w:pPr>
        <w:pStyle w:val="ListBullet"/>
        <w:spacing w:after="40"/>
      </w:pPr>
      <w:r>
        <w:t>Éviter tout déplacement vertical du CTA lors des changements de terme.</w:t>
      </w:r>
    </w:p>
    <w:p>
      <w:pPr>
        <w:pStyle w:val="Heading2"/>
      </w:pPr>
      <w:r>
        <w:t>À supprimer ou corriger</w:t>
      </w:r>
    </w:p>
    <w:p>
      <w:pPr>
        <w:pStyle w:val="ListBullet"/>
        <w:spacing w:after="40"/>
      </w:pPr>
      <w:r>
        <w:t>Corriger toute utilisation du sous-titre comme H2.</w:t>
      </w:r>
    </w:p>
    <w:p>
      <w:pPr>
        <w:pStyle w:val="ListBullet"/>
        <w:spacing w:after="40"/>
      </w:pPr>
      <w:r>
        <w:t>Éviter d’ajouter une seconde animation forte au texte si le globe est déjà animé.</w:t>
      </w:r>
    </w:p>
    <w:p>
      <w:pPr>
        <w:pStyle w:val="ListBullet"/>
        <w:spacing w:after="40"/>
      </w:pPr>
      <w:r>
        <w:t>Vérifier que le cartouche Atlas mondial ne concurrence pas le message principal ni la navigation.</w:t>
      </w:r>
    </w:p>
    <w:p>
      <w:pPr>
        <w:pStyle w:val="ListBullet"/>
        <w:spacing w:after="40"/>
      </w:pPr>
      <w:r>
        <w:t>Sur mobile, ne jamais placer le globe seul dans une rangée sous le CTA. L’intégrer au hero comme un visuel partiellement recadré sur le côté droit, protégé par un dégradé sombre.</w:t>
      </w:r>
    </w:p>
    <w:p>
      <w:pPr>
        <w:pStyle w:val="ListBullet"/>
        <w:spacing w:after="40"/>
      </w:pPr>
      <w:r>
        <w:t>Sur mobile, figer le globe sur une vue de l’Europe. Il ne tourne pas automatiquement, ne suit pas le doigt et n’intercepte aucun geste tactile.</w:t>
      </w:r>
    </w:p>
    <w:p>
      <w:pPr>
        <w:pStyle w:val="ListBullet"/>
        <w:spacing w:after="40"/>
      </w:pPr>
      <w:r>
        <w:t>Conserver environ 40 à 60 % du globe visible et supprimer toute consigne de survol. Le défilement vertical de la page doit rester entièrement naturel.</w:t>
      </w:r>
    </w:p>
    <w:p>
      <w:pPr>
        <w:pStyle w:val="Heading1"/>
      </w:pPr>
      <w:r>
        <w:t>2 Présentation du cabinet</w:t>
      </w:r>
    </w:p>
    <w:p>
      <w:pPr>
        <w:spacing w:after="80"/>
      </w:pPr>
      <w:r>
        <w:rPr>
          <w:b/>
        </w:rPr>
        <w:t xml:space="preserve">Conserver. </w:t>
      </w:r>
      <w:r>
        <w:t>La grande photographie collective, l’accroche sur la complémentarité juridique et technique, le paragraphe de présentation et le lien vers le cabinet.</w:t>
      </w:r>
    </w:p>
    <w:p>
      <w:pPr>
        <w:spacing w:after="80"/>
      </w:pPr>
      <w:r>
        <w:rPr>
          <w:b/>
        </w:rPr>
        <w:t xml:space="preserve">Accroche. </w:t>
      </w:r>
      <w:r>
        <w:t>Conserver « Avocats et experts techniques croisent leurs compétences sur les enjeux du numérique. »</w:t>
      </w:r>
    </w:p>
    <w:p>
      <w:pPr>
        <w:spacing w:after="80"/>
      </w:pPr>
      <w:r>
        <w:rPr>
          <w:b/>
        </w:rPr>
        <w:t xml:space="preserve">Paragraphe. </w:t>
      </w:r>
      <w:r>
        <w:t>Conserver le texte actuel dans son principe : cabinet de droit du numérique établi à Paris, actif depuis 2016, conseil et défense des entreprises.</w:t>
      </w:r>
    </w:p>
    <w:p>
      <w:pPr>
        <w:spacing w:after="80"/>
      </w:pPr>
      <w:r>
        <w:rPr>
          <w:b/>
        </w:rPr>
        <w:t xml:space="preserve">Texte à retirer. </w:t>
      </w:r>
      <w:r>
        <w:t>Supprimer l’ajout « du contrat jusqu’au contentieux, en France comme à l’étranger ». Cette portée n’a pas été validée.</w:t>
      </w:r>
    </w:p>
    <w:p>
      <w:pPr>
        <w:spacing w:after="80"/>
      </w:pPr>
      <w:r>
        <w:rPr>
          <w:b/>
        </w:rPr>
        <w:t xml:space="preserve">CTA à corriger. </w:t>
      </w:r>
      <w:r>
        <w:t>Remplacer « Une problématique juridique ? Parlons-en » par « Votre entreprise rencontre une difficulté numérique ? Exposez-nous la situation. »</w:t>
      </w:r>
    </w:p>
    <w:p>
      <w:pPr>
        <w:pStyle w:val="Heading2"/>
      </w:pPr>
      <w:r>
        <w:t>Améliorations de maquette</w:t>
      </w:r>
    </w:p>
    <w:p>
      <w:pPr>
        <w:pStyle w:val="ListBullet"/>
        <w:spacing w:after="40"/>
      </w:pPr>
      <w:r>
        <w:t>Conserver une largeur de lecture limitée ; ne pas étirer le paragraphe sur toute la page.</w:t>
      </w:r>
    </w:p>
    <w:p>
      <w:pPr>
        <w:pStyle w:val="ListBullet"/>
        <w:spacing w:after="40"/>
      </w:pPr>
      <w:r>
        <w:t>Réduire légèrement l’espace vertical entre la fin du hero et la photographie si la maquette paraît trop longue.</w:t>
      </w:r>
    </w:p>
    <w:p>
      <w:pPr>
        <w:pStyle w:val="ListBullet"/>
        <w:spacing w:after="40"/>
      </w:pPr>
      <w:r>
        <w:t>Rendre la légende de la photographie lisible sans lui donner l’apparence d’une annotation technique.</w:t>
      </w:r>
    </w:p>
    <w:p>
      <w:pPr>
        <w:pStyle w:val="ListBullet"/>
        <w:spacing w:after="40"/>
      </w:pPr>
      <w:r>
        <w:t>Conserver deux actions maximum : contact primaire, découverte du cabinet secondaire.</w:t>
      </w:r>
    </w:p>
    <w:p>
      <w:pPr>
        <w:pStyle w:val="ListBullet"/>
        <w:spacing w:after="40"/>
      </w:pPr>
      <w:r>
        <w:t>Rendre le bouton secondaire lisible dès son état normal : texte blanc à forte opacité, bordure blanche perceptible, survol distinct et focus d’au moins 3 px. Vérifier le contraste mesuré.</w:t>
      </w:r>
    </w:p>
    <w:p>
      <w:pPr>
        <w:pStyle w:val="Heading1"/>
      </w:pPr>
      <w:r>
        <w:t>3 Domaines d’intervention</w:t>
      </w:r>
    </w:p>
    <w:p>
      <w:pPr>
        <w:spacing w:after="80"/>
      </w:pPr>
      <w:r>
        <w:rPr>
          <w:b/>
        </w:rPr>
        <w:t xml:space="preserve">Principe obligatoire. </w:t>
      </w:r>
      <w:r>
        <w:t>Présenter dix accès distincts, tous visibles et cliquables, mais les organiser sous trois familles explicites. Cette structure répond aux critères de modèle mental, de balayage, de chunking, de proximité et de cohérence taxonomique. Elle doit reprendre exactement les mêmes familles dans le menu Domaines et sur la home.</w:t>
      </w:r>
    </w:p>
    <w:p>
      <w:pPr>
        <w:spacing w:after="80"/>
      </w:pPr>
      <w:r>
        <w:rPr>
          <w:b/>
        </w:rPr>
        <w:t xml:space="preserve">Scission. </w:t>
      </w:r>
      <w:r>
        <w:t>Remplacer l’actuelle carte Contrats IT et responsabilité par deux cartes : Contrats informatiques et Contentieux informatique et commercial.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cantSplit/>
        </w:trPr>
        <w:tc>
          <w:tcPr>
            <w:tcW w:type="dxa" w:w="3331"/>
            <w:shd w:fill="0A0F2E"/>
            <w:vAlign w:val="center"/>
            <w:tcMar>
              <w:top w:w="90" w:type="dxa"/>
              <w:start w:w="110" w:type="dxa"/>
              <w:bottom w:w="90" w:type="dxa"/>
              <w:end w:w="110" w:type="dxa"/>
            </w:tcMar>
          </w:tcPr>
          <w:p>
            <w:pPr>
              <w:jc w:val="center"/>
            </w:pPr>
            <w:r>
              <w:rPr>
                <w:b/>
                <w:color w:val="FFFFFF"/>
                <w:sz w:val="18"/>
              </w:rPr>
              <w:t>Famille</w:t>
            </w:r>
          </w:p>
        </w:tc>
        <w:tc>
          <w:tcPr>
            <w:tcW w:type="dxa" w:w="3331"/>
            <w:shd w:fill="0A0F2E"/>
            <w:vAlign w:val="center"/>
            <w:tcMar>
              <w:top w:w="90" w:type="dxa"/>
              <w:start w:w="110" w:type="dxa"/>
              <w:bottom w:w="90" w:type="dxa"/>
              <w:end w:w="110" w:type="dxa"/>
            </w:tcMar>
          </w:tcPr>
          <w:p>
            <w:pPr>
              <w:jc w:val="center"/>
            </w:pPr>
            <w:r>
              <w:rPr>
                <w:b/>
                <w:color w:val="FFFFFF"/>
                <w:sz w:val="18"/>
              </w:rPr>
              <w:t>Domaine</w:t>
            </w:r>
          </w:p>
        </w:tc>
        <w:tc>
          <w:tcPr>
            <w:tcW w:type="dxa" w:w="3331"/>
            <w:shd w:fill="0A0F2E"/>
            <w:vAlign w:val="center"/>
            <w:tcMar>
              <w:top w:w="90" w:type="dxa"/>
              <w:start w:w="110" w:type="dxa"/>
              <w:bottom w:w="90" w:type="dxa"/>
              <w:end w:w="110" w:type="dxa"/>
            </w:tcMar>
          </w:tcPr>
          <w:p>
            <w:pPr>
              <w:jc w:val="center"/>
            </w:pPr>
            <w:r>
              <w:rPr>
                <w:b/>
                <w:color w:val="FFFFFF"/>
                <w:sz w:val="18"/>
              </w:rPr>
              <w:t>Description de carte</w:t>
            </w:r>
          </w:p>
        </w:tc>
      </w:tr>
      <w:tr>
        <w:trPr>
          <w:cantSplit/>
        </w:trPr>
        <w:tc>
          <w:tcPr>
            <w:tcW w:type="dxa" w:w="2376"/>
            <w:vAlign w:val="center"/>
            <w:tcMar>
              <w:top w:w="90" w:type="dxa"/>
              <w:start w:w="110" w:type="dxa"/>
              <w:bottom w:w="90" w:type="dxa"/>
              <w:end w:w="110" w:type="dxa"/>
            </w:tcMar>
          </w:tcPr>
          <w:p>
            <w:pPr>
              <w:spacing w:after="0" w:line="252" w:lineRule="auto"/>
            </w:pPr>
            <w:r>
              <w:rPr>
                <w:sz w:val="17"/>
              </w:rPr>
              <w:t>Conformité et gouvernance</w:t>
            </w:r>
          </w:p>
        </w:tc>
        <w:tc>
          <w:tcPr>
            <w:tcW w:type="dxa" w:w="2592"/>
            <w:vAlign w:val="center"/>
            <w:tcMar>
              <w:top w:w="90" w:type="dxa"/>
              <w:start w:w="110" w:type="dxa"/>
              <w:bottom w:w="90" w:type="dxa"/>
              <w:end w:w="110" w:type="dxa"/>
            </w:tcMar>
          </w:tcPr>
          <w:p>
            <w:pPr>
              <w:spacing w:after="0" w:line="252" w:lineRule="auto"/>
            </w:pPr>
            <w:r>
              <w:rPr>
                <w:sz w:val="17"/>
              </w:rPr>
              <w:t>RGPD et données personnelles</w:t>
            </w:r>
          </w:p>
        </w:tc>
        <w:tc>
          <w:tcPr>
            <w:tcW w:type="dxa" w:w="4680"/>
            <w:vAlign w:val="center"/>
            <w:tcMar>
              <w:top w:w="90" w:type="dxa"/>
              <w:start w:w="110" w:type="dxa"/>
              <w:bottom w:w="90" w:type="dxa"/>
              <w:end w:w="110" w:type="dxa"/>
            </w:tcMar>
          </w:tcPr>
          <w:p>
            <w:pPr>
              <w:spacing w:after="0" w:line="252" w:lineRule="auto"/>
            </w:pPr>
            <w:r>
              <w:rPr>
                <w:sz w:val="17"/>
              </w:rPr>
              <w:t>Mettre les traitements de données en conformité et répondre à un contrôle ou à une violation de données.</w:t>
            </w:r>
          </w:p>
        </w:tc>
      </w:tr>
      <w:tr>
        <w:trPr>
          <w:cantSplit/>
        </w:trPr>
        <w:tc>
          <w:tcPr>
            <w:tcW w:type="dxa" w:w="2376"/>
            <w:vAlign w:val="center"/>
            <w:tcMar>
              <w:top w:w="90" w:type="dxa"/>
              <w:start w:w="110" w:type="dxa"/>
              <w:bottom w:w="90" w:type="dxa"/>
              <w:end w:w="110" w:type="dxa"/>
            </w:tcMar>
            <w:shd w:fill="F4F6FA"/>
          </w:tcPr>
          <w:p>
            <w:pPr>
              <w:spacing w:after="0" w:line="252" w:lineRule="auto"/>
            </w:pPr>
            <w:r>
              <w:rPr>
                <w:sz w:val="17"/>
              </w:rPr>
              <w:t>Conformité et gouvernance</w:t>
            </w:r>
          </w:p>
        </w:tc>
        <w:tc>
          <w:tcPr>
            <w:tcW w:type="dxa" w:w="2592"/>
            <w:vAlign w:val="center"/>
            <w:tcMar>
              <w:top w:w="90" w:type="dxa"/>
              <w:start w:w="110" w:type="dxa"/>
              <w:bottom w:w="90" w:type="dxa"/>
              <w:end w:w="110" w:type="dxa"/>
            </w:tcMar>
            <w:shd w:fill="F4F6FA"/>
          </w:tcPr>
          <w:p>
            <w:pPr>
              <w:spacing w:after="0" w:line="252" w:lineRule="auto"/>
            </w:pPr>
            <w:r>
              <w:rPr>
                <w:sz w:val="17"/>
              </w:rPr>
              <w:t>Intelligence artificielle et AI Act</w:t>
            </w:r>
          </w:p>
        </w:tc>
        <w:tc>
          <w:tcPr>
            <w:tcW w:type="dxa" w:w="4680"/>
            <w:vAlign w:val="center"/>
            <w:tcMar>
              <w:top w:w="90" w:type="dxa"/>
              <w:start w:w="110" w:type="dxa"/>
              <w:bottom w:w="90" w:type="dxa"/>
              <w:end w:w="110" w:type="dxa"/>
            </w:tcMar>
            <w:shd w:fill="F4F6FA"/>
          </w:tcPr>
          <w:p>
            <w:pPr>
              <w:spacing w:after="0" w:line="252" w:lineRule="auto"/>
            </w:pPr>
            <w:r>
              <w:rPr>
                <w:sz w:val="17"/>
              </w:rPr>
              <w:t>Encadrer les outils d’IA utilisés ou développés par l’entreprise et préparer la conformité à l’AI Act.</w:t>
            </w:r>
          </w:p>
        </w:tc>
      </w:tr>
      <w:tr>
        <w:trPr>
          <w:cantSplit/>
        </w:trPr>
        <w:tc>
          <w:tcPr>
            <w:tcW w:type="dxa" w:w="2376"/>
            <w:vAlign w:val="center"/>
            <w:tcMar>
              <w:top w:w="90" w:type="dxa"/>
              <w:start w:w="110" w:type="dxa"/>
              <w:bottom w:w="90" w:type="dxa"/>
              <w:end w:w="110" w:type="dxa"/>
            </w:tcMar>
          </w:tcPr>
          <w:p>
            <w:pPr>
              <w:spacing w:after="0" w:line="252" w:lineRule="auto"/>
            </w:pPr>
            <w:r>
              <w:rPr>
                <w:sz w:val="17"/>
              </w:rPr>
              <w:t>Conformité et gouvernance</w:t>
            </w:r>
          </w:p>
        </w:tc>
        <w:tc>
          <w:tcPr>
            <w:tcW w:type="dxa" w:w="2592"/>
            <w:vAlign w:val="center"/>
            <w:tcMar>
              <w:top w:w="90" w:type="dxa"/>
              <w:start w:w="110" w:type="dxa"/>
              <w:bottom w:w="90" w:type="dxa"/>
              <w:end w:w="110" w:type="dxa"/>
            </w:tcMar>
          </w:tcPr>
          <w:p>
            <w:pPr>
              <w:spacing w:after="0" w:line="252" w:lineRule="auto"/>
            </w:pPr>
            <w:r>
              <w:rPr>
                <w:sz w:val="17"/>
              </w:rPr>
              <w:t>Cybersécurité et NIS 2</w:t>
            </w:r>
          </w:p>
        </w:tc>
        <w:tc>
          <w:tcPr>
            <w:tcW w:type="dxa" w:w="4680"/>
            <w:vAlign w:val="center"/>
            <w:tcMar>
              <w:top w:w="90" w:type="dxa"/>
              <w:start w:w="110" w:type="dxa"/>
              <w:bottom w:w="90" w:type="dxa"/>
              <w:end w:w="110" w:type="dxa"/>
            </w:tcMar>
          </w:tcPr>
          <w:p>
            <w:pPr>
              <w:spacing w:after="0" w:line="252" w:lineRule="auto"/>
            </w:pPr>
            <w:r>
              <w:rPr>
                <w:sz w:val="17"/>
              </w:rPr>
              <w:t>Organiser la prévention des incidents et respecter les obligations de sécurité, notamment celles de NIS 2.</w:t>
            </w:r>
          </w:p>
        </w:tc>
      </w:tr>
      <w:tr>
        <w:trPr>
          <w:cantSplit/>
        </w:trPr>
        <w:tc>
          <w:tcPr>
            <w:tcW w:type="dxa" w:w="2376"/>
            <w:vAlign w:val="center"/>
            <w:tcMar>
              <w:top w:w="90" w:type="dxa"/>
              <w:start w:w="110" w:type="dxa"/>
              <w:bottom w:w="90" w:type="dxa"/>
              <w:end w:w="110" w:type="dxa"/>
            </w:tcMar>
            <w:shd w:fill="F4F6FA"/>
          </w:tcPr>
          <w:p>
            <w:pPr>
              <w:spacing w:after="0" w:line="252" w:lineRule="auto"/>
            </w:pPr>
            <w:r>
              <w:rPr>
                <w:sz w:val="17"/>
              </w:rPr>
              <w:t>Contrats et opérations numériques</w:t>
            </w:r>
          </w:p>
        </w:tc>
        <w:tc>
          <w:tcPr>
            <w:tcW w:type="dxa" w:w="2592"/>
            <w:vAlign w:val="center"/>
            <w:tcMar>
              <w:top w:w="90" w:type="dxa"/>
              <w:start w:w="110" w:type="dxa"/>
              <w:bottom w:w="90" w:type="dxa"/>
              <w:end w:w="110" w:type="dxa"/>
            </w:tcMar>
            <w:shd w:fill="F4F6FA"/>
          </w:tcPr>
          <w:p>
            <w:pPr>
              <w:spacing w:after="0" w:line="252" w:lineRule="auto"/>
            </w:pPr>
            <w:r>
              <w:rPr>
                <w:sz w:val="17"/>
              </w:rPr>
              <w:t>Contrats informatiques</w:t>
            </w:r>
          </w:p>
        </w:tc>
        <w:tc>
          <w:tcPr>
            <w:tcW w:type="dxa" w:w="4680"/>
            <w:vAlign w:val="center"/>
            <w:tcMar>
              <w:top w:w="90" w:type="dxa"/>
              <w:start w:w="110" w:type="dxa"/>
              <w:bottom w:w="90" w:type="dxa"/>
              <w:end w:w="110" w:type="dxa"/>
            </w:tcMar>
            <w:shd w:fill="F4F6FA"/>
          </w:tcPr>
          <w:p>
            <w:pPr>
              <w:spacing w:after="0" w:line="252" w:lineRule="auto"/>
            </w:pPr>
            <w:r>
              <w:rPr>
                <w:sz w:val="17"/>
              </w:rPr>
              <w:t>Négocier ou sécuriser un contrat SaaS, cloud, de développement ou d’infogérance.</w:t>
            </w:r>
          </w:p>
        </w:tc>
      </w:tr>
      <w:tr>
        <w:trPr>
          <w:cantSplit/>
        </w:trPr>
        <w:tc>
          <w:tcPr>
            <w:tcW w:type="dxa" w:w="2376"/>
            <w:vAlign w:val="center"/>
            <w:tcMar>
              <w:top w:w="90" w:type="dxa"/>
              <w:start w:w="110" w:type="dxa"/>
              <w:bottom w:w="90" w:type="dxa"/>
              <w:end w:w="110" w:type="dxa"/>
            </w:tcMar>
          </w:tcPr>
          <w:p>
            <w:pPr>
              <w:spacing w:after="0" w:line="252" w:lineRule="auto"/>
            </w:pPr>
            <w:r>
              <w:rPr>
                <w:sz w:val="17"/>
              </w:rPr>
              <w:t>Contrats et opérations numériques</w:t>
            </w:r>
          </w:p>
        </w:tc>
        <w:tc>
          <w:tcPr>
            <w:tcW w:type="dxa" w:w="2592"/>
            <w:vAlign w:val="center"/>
            <w:tcMar>
              <w:top w:w="90" w:type="dxa"/>
              <w:start w:w="110" w:type="dxa"/>
              <w:bottom w:w="90" w:type="dxa"/>
              <w:end w:w="110" w:type="dxa"/>
            </w:tcMar>
          </w:tcPr>
          <w:p>
            <w:pPr>
              <w:spacing w:after="0" w:line="252" w:lineRule="auto"/>
            </w:pPr>
            <w:r>
              <w:rPr>
                <w:sz w:val="17"/>
              </w:rPr>
              <w:t>M&amp;A Tech et due diligence</w:t>
            </w:r>
          </w:p>
        </w:tc>
        <w:tc>
          <w:tcPr>
            <w:tcW w:type="dxa" w:w="4680"/>
            <w:vAlign w:val="center"/>
            <w:tcMar>
              <w:top w:w="90" w:type="dxa"/>
              <w:start w:w="110" w:type="dxa"/>
              <w:bottom w:w="90" w:type="dxa"/>
              <w:end w:w="110" w:type="dxa"/>
            </w:tcMar>
          </w:tcPr>
          <w:p>
            <w:pPr>
              <w:spacing w:after="0" w:line="252" w:lineRule="auto"/>
            </w:pPr>
            <w:r>
              <w:rPr>
                <w:sz w:val="17"/>
              </w:rPr>
              <w:t>Identifier les risques liés aux logiciels, données, contrats et actifs numériques avant une acquisition.</w:t>
            </w:r>
          </w:p>
        </w:tc>
      </w:tr>
      <w:tr>
        <w:trPr>
          <w:cantSplit/>
        </w:trPr>
        <w:tc>
          <w:tcPr>
            <w:tcW w:type="dxa" w:w="2376"/>
            <w:vAlign w:val="center"/>
            <w:tcMar>
              <w:top w:w="90" w:type="dxa"/>
              <w:start w:w="110" w:type="dxa"/>
              <w:bottom w:w="90" w:type="dxa"/>
              <w:end w:w="110" w:type="dxa"/>
            </w:tcMar>
            <w:shd w:fill="F4F6FA"/>
          </w:tcPr>
          <w:p>
            <w:pPr>
              <w:spacing w:after="0" w:line="252" w:lineRule="auto"/>
            </w:pPr>
            <w:r>
              <w:rPr>
                <w:sz w:val="17"/>
              </w:rPr>
              <w:t>Contrats et opérations numériques</w:t>
            </w:r>
          </w:p>
        </w:tc>
        <w:tc>
          <w:tcPr>
            <w:tcW w:type="dxa" w:w="2592"/>
            <w:vAlign w:val="center"/>
            <w:tcMar>
              <w:top w:w="90" w:type="dxa"/>
              <w:start w:w="110" w:type="dxa"/>
              <w:bottom w:w="90" w:type="dxa"/>
              <w:end w:w="110" w:type="dxa"/>
            </w:tcMar>
            <w:shd w:fill="F4F6FA"/>
          </w:tcPr>
          <w:p>
            <w:pPr>
              <w:spacing w:after="0" w:line="252" w:lineRule="auto"/>
            </w:pPr>
            <w:r>
              <w:rPr>
                <w:sz w:val="17"/>
              </w:rPr>
              <w:t>Crypto-actifs et blockchain</w:t>
            </w:r>
          </w:p>
        </w:tc>
        <w:tc>
          <w:tcPr>
            <w:tcW w:type="dxa" w:w="4680"/>
            <w:vAlign w:val="center"/>
            <w:tcMar>
              <w:top w:w="90" w:type="dxa"/>
              <w:start w:w="110" w:type="dxa"/>
              <w:bottom w:w="90" w:type="dxa"/>
              <w:end w:w="110" w:type="dxa"/>
            </w:tcMar>
            <w:shd w:fill="F4F6FA"/>
          </w:tcPr>
          <w:p>
            <w:pPr>
              <w:spacing w:after="0" w:line="252" w:lineRule="auto"/>
            </w:pPr>
            <w:r>
              <w:rPr>
                <w:sz w:val="17"/>
              </w:rPr>
              <w:t>Sécuriser une activité liée aux crypto-actifs et respecter les obligations issues de MiCA.</w:t>
            </w:r>
          </w:p>
        </w:tc>
      </w:tr>
      <w:tr>
        <w:trPr>
          <w:cantSplit/>
        </w:trPr>
        <w:tc>
          <w:tcPr>
            <w:tcW w:type="dxa" w:w="2376"/>
            <w:vAlign w:val="center"/>
            <w:tcMar>
              <w:top w:w="90" w:type="dxa"/>
              <w:start w:w="110" w:type="dxa"/>
              <w:bottom w:w="90" w:type="dxa"/>
              <w:end w:w="110" w:type="dxa"/>
            </w:tcMar>
          </w:tcPr>
          <w:p>
            <w:pPr>
              <w:spacing w:after="0" w:line="252" w:lineRule="auto"/>
            </w:pPr>
            <w:r>
              <w:rPr>
                <w:sz w:val="17"/>
              </w:rPr>
              <w:t>Contentieux et atteintes numériques</w:t>
            </w:r>
          </w:p>
        </w:tc>
        <w:tc>
          <w:tcPr>
            <w:tcW w:type="dxa" w:w="2592"/>
            <w:vAlign w:val="center"/>
            <w:tcMar>
              <w:top w:w="90" w:type="dxa"/>
              <w:start w:w="110" w:type="dxa"/>
              <w:bottom w:w="90" w:type="dxa"/>
              <w:end w:w="110" w:type="dxa"/>
            </w:tcMar>
          </w:tcPr>
          <w:p>
            <w:pPr>
              <w:spacing w:after="0" w:line="252" w:lineRule="auto"/>
            </w:pPr>
            <w:r>
              <w:rPr>
                <w:sz w:val="17"/>
              </w:rPr>
              <w:t>Contentieux informatique et commercial</w:t>
            </w:r>
          </w:p>
        </w:tc>
        <w:tc>
          <w:tcPr>
            <w:tcW w:type="dxa" w:w="4680"/>
            <w:vAlign w:val="center"/>
            <w:tcMar>
              <w:top w:w="90" w:type="dxa"/>
              <w:start w:w="110" w:type="dxa"/>
              <w:bottom w:w="90" w:type="dxa"/>
              <w:end w:w="110" w:type="dxa"/>
            </w:tcMar>
          </w:tcPr>
          <w:p>
            <w:pPr>
              <w:spacing w:after="0" w:line="252" w:lineRule="auto"/>
            </w:pPr>
            <w:r>
              <w:rPr>
                <w:sz w:val="17"/>
              </w:rPr>
              <w:t>Agir lorsqu’un projet IT échoue, qu’un prestataire manque à ses obligations ou qu’une expertise devient nécessaire.</w:t>
            </w:r>
          </w:p>
        </w:tc>
      </w:tr>
      <w:tr>
        <w:trPr>
          <w:cantSplit/>
        </w:trPr>
        <w:tc>
          <w:tcPr>
            <w:tcW w:type="dxa" w:w="2376"/>
            <w:vAlign w:val="center"/>
            <w:tcMar>
              <w:top w:w="90" w:type="dxa"/>
              <w:start w:w="110" w:type="dxa"/>
              <w:bottom w:w="90" w:type="dxa"/>
              <w:end w:w="110" w:type="dxa"/>
            </w:tcMar>
            <w:shd w:fill="F4F6FA"/>
          </w:tcPr>
          <w:p>
            <w:pPr>
              <w:spacing w:after="0" w:line="252" w:lineRule="auto"/>
            </w:pPr>
            <w:r>
              <w:rPr>
                <w:sz w:val="17"/>
              </w:rPr>
              <w:t>Contentieux et atteintes numériques</w:t>
            </w:r>
          </w:p>
        </w:tc>
        <w:tc>
          <w:tcPr>
            <w:tcW w:type="dxa" w:w="2592"/>
            <w:vAlign w:val="center"/>
            <w:tcMar>
              <w:top w:w="90" w:type="dxa"/>
              <w:start w:w="110" w:type="dxa"/>
              <w:bottom w:w="90" w:type="dxa"/>
              <w:end w:w="110" w:type="dxa"/>
            </w:tcMar>
            <w:shd w:fill="F4F6FA"/>
          </w:tcPr>
          <w:p>
            <w:pPr>
              <w:spacing w:after="0" w:line="252" w:lineRule="auto"/>
            </w:pPr>
            <w:r>
              <w:rPr>
                <w:sz w:val="17"/>
              </w:rPr>
              <w:t>Cybercriminalité et atteintes aux systèmes</w:t>
            </w:r>
          </w:p>
        </w:tc>
        <w:tc>
          <w:tcPr>
            <w:tcW w:type="dxa" w:w="4680"/>
            <w:vAlign w:val="center"/>
            <w:tcMar>
              <w:top w:w="90" w:type="dxa"/>
              <w:start w:w="110" w:type="dxa"/>
              <w:bottom w:w="90" w:type="dxa"/>
              <w:end w:w="110" w:type="dxa"/>
            </w:tcMar>
            <w:shd w:fill="F4F6FA"/>
          </w:tcPr>
          <w:p>
            <w:pPr>
              <w:spacing w:after="0" w:line="252" w:lineRule="auto"/>
            </w:pPr>
            <w:r>
              <w:rPr>
                <w:sz w:val="17"/>
              </w:rPr>
              <w:t>Réagir à une intrusion, un rançongiciel, un vol de données ou une atteinte au système informatique.</w:t>
            </w:r>
          </w:p>
        </w:tc>
      </w:tr>
      <w:tr>
        <w:trPr>
          <w:cantSplit/>
        </w:trPr>
        <w:tc>
          <w:tcPr>
            <w:tcW w:type="dxa" w:w="2376"/>
            <w:vAlign w:val="center"/>
            <w:tcMar>
              <w:top w:w="90" w:type="dxa"/>
              <w:start w:w="110" w:type="dxa"/>
              <w:bottom w:w="90" w:type="dxa"/>
              <w:end w:w="110" w:type="dxa"/>
            </w:tcMar>
          </w:tcPr>
          <w:p>
            <w:pPr>
              <w:spacing w:after="0" w:line="252" w:lineRule="auto"/>
            </w:pPr>
            <w:r>
              <w:rPr>
                <w:sz w:val="17"/>
              </w:rPr>
              <w:t>Contentieux et atteintes numériques</w:t>
            </w:r>
          </w:p>
        </w:tc>
        <w:tc>
          <w:tcPr>
            <w:tcW w:type="dxa" w:w="2592"/>
            <w:vAlign w:val="center"/>
            <w:tcMar>
              <w:top w:w="90" w:type="dxa"/>
              <w:start w:w="110" w:type="dxa"/>
              <w:bottom w:w="90" w:type="dxa"/>
              <w:end w:w="110" w:type="dxa"/>
            </w:tcMar>
          </w:tcPr>
          <w:p>
            <w:pPr>
              <w:spacing w:after="0" w:line="252" w:lineRule="auto"/>
            </w:pPr>
            <w:r>
              <w:rPr>
                <w:sz w:val="17"/>
              </w:rPr>
              <w:t>Escroquerie et fraude bancaire</w:t>
            </w:r>
          </w:p>
        </w:tc>
        <w:tc>
          <w:tcPr>
            <w:tcW w:type="dxa" w:w="4680"/>
            <w:vAlign w:val="center"/>
            <w:tcMar>
              <w:top w:w="90" w:type="dxa"/>
              <w:start w:w="110" w:type="dxa"/>
              <w:bottom w:w="90" w:type="dxa"/>
              <w:end w:w="110" w:type="dxa"/>
            </w:tcMar>
          </w:tcPr>
          <w:p>
            <w:pPr>
              <w:spacing w:after="0" w:line="252" w:lineRule="auto"/>
            </w:pPr>
            <w:r>
              <w:rPr>
                <w:sz w:val="17"/>
              </w:rPr>
              <w:t>Contester les opérations frauduleuses et demander le remboursement des sommes détournées.</w:t>
            </w:r>
          </w:p>
        </w:tc>
      </w:tr>
      <w:tr>
        <w:trPr>
          <w:cantSplit/>
        </w:trPr>
        <w:tc>
          <w:tcPr>
            <w:tcW w:type="dxa" w:w="2376"/>
            <w:vAlign w:val="center"/>
            <w:tcMar>
              <w:top w:w="90" w:type="dxa"/>
              <w:start w:w="110" w:type="dxa"/>
              <w:bottom w:w="90" w:type="dxa"/>
              <w:end w:w="110" w:type="dxa"/>
            </w:tcMar>
            <w:shd w:fill="F4F6FA"/>
          </w:tcPr>
          <w:p>
            <w:pPr>
              <w:spacing w:after="0" w:line="252" w:lineRule="auto"/>
            </w:pPr>
            <w:r>
              <w:rPr>
                <w:sz w:val="17"/>
              </w:rPr>
              <w:t>Contentieux et atteintes numériques</w:t>
            </w:r>
          </w:p>
        </w:tc>
        <w:tc>
          <w:tcPr>
            <w:tcW w:type="dxa" w:w="2592"/>
            <w:vAlign w:val="center"/>
            <w:tcMar>
              <w:top w:w="90" w:type="dxa"/>
              <w:start w:w="110" w:type="dxa"/>
              <w:bottom w:w="90" w:type="dxa"/>
              <w:end w:w="110" w:type="dxa"/>
            </w:tcMar>
            <w:shd w:fill="F4F6FA"/>
          </w:tcPr>
          <w:p>
            <w:pPr>
              <w:spacing w:after="0" w:line="252" w:lineRule="auto"/>
            </w:pPr>
            <w:r>
              <w:rPr>
                <w:sz w:val="17"/>
              </w:rPr>
              <w:t>Diffamation et retrait de contenus</w:t>
            </w:r>
          </w:p>
        </w:tc>
        <w:tc>
          <w:tcPr>
            <w:tcW w:type="dxa" w:w="4680"/>
            <w:vAlign w:val="center"/>
            <w:tcMar>
              <w:top w:w="90" w:type="dxa"/>
              <w:start w:w="110" w:type="dxa"/>
              <w:bottom w:w="90" w:type="dxa"/>
              <w:end w:w="110" w:type="dxa"/>
            </w:tcMar>
            <w:shd w:fill="F4F6FA"/>
          </w:tcPr>
          <w:p>
            <w:pPr>
              <w:spacing w:after="0" w:line="252" w:lineRule="auto"/>
            </w:pPr>
            <w:r>
              <w:rPr>
                <w:sz w:val="17"/>
              </w:rPr>
              <w:t>Faire retirer un contenu, identifier son auteur ou défendre l’entreprise contre une atteinte à sa réputation.</w:t>
            </w:r>
          </w:p>
        </w:tc>
      </w:tr>
    </w:tbl>
    <w:p>
      <w:pPr>
        <w:spacing w:after="20"/>
      </w:pPr>
    </w:p>
    <w:p>
      <w:pPr>
        <w:pStyle w:val="Heading2"/>
      </w:pPr>
      <w:r>
        <w:t>Composition à maqueter</w:t>
      </w:r>
    </w:p>
    <w:p>
      <w:pPr>
        <w:pStyle w:val="ListBullet"/>
        <w:spacing w:after="40"/>
      </w:pPr>
      <w:r>
        <w:t>Afficher successivement les trois familles, chacune précédée d’un titre discret mais immédiatement repérable.</w:t>
      </w:r>
    </w:p>
    <w:p>
      <w:pPr>
        <w:pStyle w:val="ListBullet"/>
        <w:spacing w:after="40"/>
      </w:pPr>
      <w:r>
        <w:t>Conformité et gouvernance : une rangée de trois cartes de largeur égale sur desktop.</w:t>
      </w:r>
    </w:p>
    <w:p>
      <w:pPr>
        <w:pStyle w:val="ListBullet"/>
        <w:spacing w:after="40"/>
      </w:pPr>
      <w:r>
        <w:t>Contrats et opérations numériques : une rangée de trois cartes de largeur égale sur desktop.</w:t>
      </w:r>
    </w:p>
    <w:p>
      <w:pPr>
        <w:pStyle w:val="ListBullet"/>
        <w:spacing w:after="40"/>
      </w:pPr>
      <w:r>
        <w:t>Contentieux et atteintes numériques : une rangée de quatre cartes sur grand desktop, puis deux colonnes lorsque la largeur devient insuffisante.</w:t>
      </w:r>
    </w:p>
    <w:p>
      <w:pPr>
        <w:pStyle w:val="ListBullet"/>
        <w:spacing w:after="40"/>
      </w:pPr>
      <w:r>
        <w:t>Les titres de famille doivent organiser la lecture sans devenir trois grands blocs promotionnels concurrençant les dix liens.</w:t>
      </w:r>
    </w:p>
    <w:p>
      <w:pPr>
        <w:pStyle w:val="ListBullet"/>
        <w:spacing w:after="40"/>
      </w:pPr>
      <w:r>
        <w:t>Conserver les dix cartes visibles : ne pas les remplacer par trois cartes principales et ne pas les enfermer dans des accordéons fermés.</w:t>
      </w:r>
    </w:p>
    <w:p>
      <w:pPr>
        <w:pStyle w:val="ListBullet"/>
        <w:spacing w:after="40"/>
      </w:pPr>
      <w:r>
        <w:t>Sur mobile : titre de famille puis cartes en une colonne ; toutes les compétences restent visibles dans le flux.</w:t>
      </w:r>
    </w:p>
    <w:p>
      <w:pPr>
        <w:pStyle w:val="ListBullet"/>
        <w:spacing w:after="40"/>
      </w:pPr>
      <w:r>
        <w:t>Réduire légèrement la hauteur des cartes mobiles en conservant titre, phrase descriptive et indication de lien.</w:t>
      </w:r>
    </w:p>
    <w:p>
      <w:pPr>
        <w:pStyle w:val="ListBullet"/>
        <w:spacing w:after="40"/>
      </w:pPr>
      <w:r>
        <w:t>Ne pas réduire le corps des descriptions pour préserver une symétrie artificielle. La lisibilité prime.</w:t>
      </w:r>
    </w:p>
    <w:p>
      <w:pPr>
        <w:pStyle w:val="Heading2"/>
      </w:pPr>
      <w:r>
        <w:t>Corrections techniques</w:t>
      </w:r>
    </w:p>
    <w:p>
      <w:pPr>
        <w:pStyle w:val="ListBullet"/>
        <w:spacing w:after="40"/>
      </w:pPr>
      <w:r>
        <w:t>Toutes les cartes utilisent des liens natifs couvrant toute leur surface.</w:t>
      </w:r>
    </w:p>
    <w:p>
      <w:pPr>
        <w:pStyle w:val="ListBullet"/>
        <w:spacing w:after="40"/>
      </w:pPr>
      <w:r>
        <w:t>Conserver un focus clavier visible et distinct du hover.</w:t>
      </w:r>
    </w:p>
    <w:p>
      <w:pPr>
        <w:pStyle w:val="ListBullet"/>
        <w:spacing w:after="40"/>
      </w:pPr>
      <w:r>
        <w:t>Renforcer le contraste des descriptions actuellement rendues en blanc à faible opacité ; viser au minimum 14 px pour le texte utile.</w:t>
      </w:r>
    </w:p>
    <w:p>
      <w:pPr>
        <w:pStyle w:val="ListBullet"/>
        <w:spacing w:after="40"/>
      </w:pPr>
      <w:r>
        <w:t>Uniformiser les URL sous /nos-domaines/, notamment M&amp;A Tech. Ajouter une redirection permanente depuis /competences/ma-tech.</w:t>
      </w:r>
    </w:p>
    <w:p>
      <w:pPr>
        <w:pStyle w:val="ListBullet"/>
        <w:spacing w:after="40"/>
      </w:pPr>
      <w:r>
        <w:t>Mettre à jour simultanément le menu Domaines, la home, le footer, le sitemap, les données structurées et les liens internes concernés.</w:t>
      </w:r>
    </w:p>
    <w:p>
      <w:pPr>
        <w:pStyle w:val="ListBullet"/>
        <w:spacing w:after="40"/>
      </w:pPr>
      <w:r>
        <w:t>Utiliser exactement les trois mêmes intitulés de familles dans le menu desktop, le menu mobile et la home : Conformité et gouvernance ; Contrats et opérations numériques ; Contentieux et atteintes numériques.</w:t>
      </w:r>
    </w:p>
    <w:p>
      <w:pPr>
        <w:pStyle w:val="Heading1"/>
      </w:pPr>
      <w:r>
        <w:t>4 Pourquoi nous</w:t>
      </w:r>
    </w:p>
    <w:p>
      <w:pPr>
        <w:spacing w:after="80"/>
      </w:pPr>
      <w:r>
        <w:rPr>
          <w:b/>
        </w:rPr>
        <w:t xml:space="preserve">Structure définitive. </w:t>
      </w:r>
      <w:r>
        <w:t>Afficher seulement trois cartes : cabinet dédié au numérique ; équipe juridique et technique ; pratique du numérique depuis 2016. Supprimer entièrement la quatrième petite carte Portail client afin de ne pas annoncer deux fois le même argument.</w:t>
      </w:r>
    </w:p>
    <w:p>
      <w:pPr>
        <w:spacing w:after="80"/>
      </w:pPr>
      <w:r>
        <w:rPr>
          <w:b/>
        </w:rPr>
        <w:t xml:space="preserve">Illustrations. </w:t>
      </w:r>
      <w:r>
        <w:t>Reprendre les trois illustrations du site actuel. Limiter leur hauteur à environ 115 à 130 px sur desktop, avec un cadrage cover. Elles doivent soutenir le texte et non dominer la section.</w:t>
      </w:r>
    </w:p>
    <w:p>
      <w:pPr>
        <w:spacing w:after="80"/>
      </w:pPr>
      <w:r>
        <w:rPr>
          <w:b/>
        </w:rPr>
        <w:t xml:space="preserve">Texte de la première carte. </w:t>
      </w:r>
      <w:r>
        <w:t>« Le droit du numérique est la seule matière du cabinet, du contrat informatique au contentieux pénal des systèmes d’information. »</w:t>
      </w:r>
    </w:p>
    <w:p>
      <w:pPr>
        <w:spacing w:after="80"/>
      </w:pPr>
      <w:r>
        <w:rPr>
          <w:b/>
        </w:rPr>
        <w:t xml:space="preserve">Texte de la deuxième carte. </w:t>
      </w:r>
      <w:r>
        <w:t>« Avocats et experts techniques confrontent l’analyse juridique aux réalités technologiques du dossier. Cette collaboration permet de traiter ensemble les dimensions juridiques, techniques et opérationnelles. »</w:t>
      </w:r>
    </w:p>
    <w:p>
      <w:pPr>
        <w:spacing w:after="80"/>
      </w:pPr>
      <w:r>
        <w:rPr>
          <w:b/>
        </w:rPr>
        <w:t xml:space="preserve">Texte de la troisième carte. </w:t>
      </w:r>
      <w:r>
        <w:t>« Depuis 2016, le cabinet intervient sur les cyberattaques, les données personnelles, l’intelligence artificielle, les plateformes et les projets informatiques en difficulté. »</w:t>
      </w:r>
    </w:p>
    <w:p>
      <w:pPr>
        <w:spacing w:after="80"/>
      </w:pPr>
      <w:r>
        <w:rPr>
          <w:b/>
        </w:rPr>
        <w:t xml:space="preserve">Portail. </w:t>
      </w:r>
      <w:r>
        <w:t>Après les trois cartes, conserver le grand bloc portail de la deuxième maquette. Sa mise en avant est volontaire : il est au cœur de la valeur différenciante du cabinet. Réutiliser l’aperçu réel de l’interface.</w:t>
      </w:r>
    </w:p>
    <w:p>
      <w:pPr>
        <w:spacing w:after="80"/>
      </w:pPr>
      <w:r>
        <w:rPr>
          <w:b/>
        </w:rPr>
        <w:t xml:space="preserve">Titre du portail. </w:t>
      </w:r>
      <w:r>
        <w:t>Utiliser « Votre dossier accessible à tout moment ».</w:t>
      </w:r>
    </w:p>
    <w:p>
      <w:pPr>
        <w:spacing w:after="80"/>
      </w:pPr>
      <w:r>
        <w:rPr>
          <w:b/>
        </w:rPr>
        <w:t xml:space="preserve">Texte du portail. </w:t>
      </w:r>
      <w:r>
        <w:t>« Chaque client dispose d’un espace personnel réunissant les documents, les échanges, les échéances et l’avancement de son dossier. Il bénéficie ainsi d’un suivi clair tout au long de notre intervention. »</w:t>
      </w:r>
    </w:p>
    <w:p>
      <w:pPr>
        <w:pStyle w:val="Heading2"/>
      </w:pPr>
      <w:r>
        <w:t>Corrections obligatoires</w:t>
      </w:r>
    </w:p>
    <w:p>
      <w:pPr>
        <w:pStyle w:val="ListBullet"/>
        <w:spacing w:after="40"/>
      </w:pPr>
      <w:r>
        <w:t>Le titre « Le droit du numérique, notre seul métier » doit être entièrement lisible avant toute animation.</w:t>
      </w:r>
    </w:p>
    <w:p>
      <w:pPr>
        <w:pStyle w:val="ListBullet"/>
        <w:spacing w:after="40"/>
      </w:pPr>
      <w:r>
        <w:t>L’animation de révélation ne doit jamais laisser seulement la version très pâle visible lors d’une impression, d’une capture ou d’un chargement incomplet.</w:t>
      </w:r>
    </w:p>
    <w:p>
      <w:pPr>
        <w:pStyle w:val="ListBullet"/>
        <w:spacing w:after="40"/>
      </w:pPr>
      <w:r>
        <w:t>Prévoir une règle d’impression supprimant l’effet de révélation et affichant le texte final.</w:t>
      </w:r>
    </w:p>
    <w:p>
      <w:pPr>
        <w:pStyle w:val="ListBullet"/>
        <w:spacing w:after="40"/>
      </w:pPr>
      <w:r>
        <w:t>Conserver les images alternatives utiles et alt vide pour les éléments strictement décoratifs.</w:t>
      </w:r>
    </w:p>
    <w:p>
      <w:pPr>
        <w:pStyle w:val="ListBullet"/>
        <w:spacing w:after="40"/>
      </w:pPr>
      <w:r>
        <w:t>Resserrer les grands espaces verticaux avant et après la grille sans supprimer la respiration générale.</w:t>
      </w:r>
    </w:p>
    <w:p>
      <w:pPr>
        <w:pStyle w:val="ListBullet"/>
        <w:spacing w:after="40"/>
      </w:pPr>
      <w:r>
        <w:t>Ne laisser aucun titre, texte, trait ou emplacement vide correspondant à l’ancienne quatrième carte Portail client.</w:t>
      </w:r>
    </w:p>
    <w:p>
      <w:pPr>
        <w:pStyle w:val="ListBullet"/>
        <w:spacing w:after="40"/>
      </w:pPr>
      <w:r>
        <w:t>Supprimer « Suivre son dossier sans relancer son avocat » et toute formulation présentant les échanges avec l’avocat comme une difficulté.</w:t>
      </w:r>
    </w:p>
    <w:p>
      <w:pPr>
        <w:pStyle w:val="ListBullet"/>
        <w:spacing w:after="40"/>
      </w:pPr>
      <w:r>
        <w:t>Employer « Une pratique du numérique associant compétences juridiques et techniques ». Supprimer « Une pratique unique ».</w:t>
      </w:r>
    </w:p>
    <w:p>
      <w:pPr>
        <w:pStyle w:val="ListBullet"/>
        <w:spacing w:after="40"/>
      </w:pPr>
      <w:r>
        <w:t>Conserver « Le droit du numérique est la seule matière du cabinet ». Supprimer « Aucune activité généraliste en parallèle ».</w:t>
      </w:r>
    </w:p>
    <w:p>
      <w:pPr>
        <w:pStyle w:val="Heading1"/>
      </w:pPr>
      <w:r>
        <w:t>5 Cas pratiques</w:t>
      </w:r>
    </w:p>
    <w:p>
      <w:pPr>
        <w:spacing w:after="80"/>
      </w:pPr>
      <w:r>
        <w:rPr>
          <w:b/>
        </w:rPr>
        <w:t xml:space="preserve">Déplacement. </w:t>
      </w:r>
      <w:r>
        <w:t>Placer cette section immédiatement après Pourquoi nous. Elle remplace dans le parcours l’ancien bloc statistique supprimé.</w:t>
      </w:r>
    </w:p>
    <w:p>
      <w:pPr>
        <w:spacing w:after="80"/>
      </w:pPr>
      <w:r>
        <w:rPr>
          <w:b/>
        </w:rPr>
        <w:t xml:space="preserve">Titre. </w:t>
      </w:r>
      <w:r>
        <w:t>Conserver uniquement « Le droit du numérique en action ». Ne placer sous ce titre aucune phrase sur le caractère réel des dossiers, les noms, les situations ou leur anonymisation.</w:t>
      </w:r>
    </w:p>
    <w:p>
      <w:pPr>
        <w:spacing w:after="80"/>
      </w:pPr>
      <w:r>
        <w:rPr>
          <w:b/>
        </w:rPr>
        <w:t xml:space="preserve">Interaction. </w:t>
      </w:r>
      <w:r>
        <w:t>Supprimer totalement les cartes à retournement, la perspective 3D, rotateY, le rôle button, le tabindex ajouté pour retourner la carte et les instructions correspondantes.</w:t>
      </w:r>
    </w:p>
    <w:p>
      <w:pPr>
        <w:pStyle w:val="Heading2"/>
      </w:pPr>
      <w:r>
        <w:t>Contenu visible de chaque carte</w:t>
      </w:r>
    </w:p>
    <w:p>
      <w:pPr>
        <w:pStyle w:val="ListBullet"/>
        <w:spacing w:after="40"/>
      </w:pPr>
      <w:r>
        <w:t>Titre de la situation.</w:t>
      </w:r>
    </w:p>
    <w:p>
      <w:pPr>
        <w:pStyle w:val="ListBullet"/>
        <w:spacing w:after="40"/>
      </w:pPr>
      <w:r>
        <w:t>Situation : deux ou trois lignes maximum.</w:t>
      </w:r>
    </w:p>
    <w:p>
      <w:pPr>
        <w:pStyle w:val="ListBullet"/>
        <w:spacing w:after="40"/>
      </w:pPr>
      <w:r>
        <w:t>Ce que nous avons fait : actions juridiques et coordination réalisées.</w:t>
      </w:r>
    </w:p>
    <w:p>
      <w:pPr>
        <w:pStyle w:val="ListBullet"/>
        <w:spacing w:after="40"/>
      </w:pPr>
      <w:r>
        <w:t>Issue : afficher les formulations arrêtées ci-dessous. Les trois cartes doivent présenter le même champ et le même traitement visuel.</w:t>
      </w:r>
    </w:p>
    <w:p>
      <w:pPr>
        <w:pStyle w:val="ListBullet"/>
        <w:spacing w:after="40"/>
      </w:pPr>
      <w:r>
        <w:t>Lien vers une étude complète seulement si une page réelle existe ; sinon aucun faux lien ni lien générique trompeur.</w:t>
      </w:r>
    </w:p>
    <w:p>
      <w:pPr>
        <w:pStyle w:val="Heading2"/>
      </w:pPr>
      <w:r>
        <w:t>Exigences juridiques et éditoriales</w:t>
      </w:r>
    </w:p>
    <w:p>
      <w:pPr>
        <w:pStyle w:val="ListBullet"/>
        <w:spacing w:after="40"/>
      </w:pPr>
      <w:r>
        <w:t>Vérifier que chaque cas correspond à une intervention réelle du cabinet.</w:t>
      </w:r>
    </w:p>
    <w:p>
      <w:pPr>
        <w:pStyle w:val="ListBullet"/>
        <w:spacing w:after="40"/>
      </w:pPr>
      <w:r>
        <w:t>Contrôler l’anonymisation au regard du cumul des détails publiés.</w:t>
      </w:r>
    </w:p>
    <w:p>
      <w:pPr>
        <w:pStyle w:val="ListBullet"/>
        <w:spacing w:after="40"/>
      </w:pPr>
      <w:r>
        <w:t>Ne pas appeler Résultat une simple action du cabinet.</w:t>
      </w:r>
    </w:p>
    <w:p>
      <w:pPr>
        <w:pStyle w:val="ListBullet"/>
        <w:spacing w:after="40"/>
      </w:pPr>
      <w:r>
        <w:t>La mention « levée de fonds conclue dans les délais » est une issue, pas une intervention ; la déplacer ou la supprimer.</w:t>
      </w:r>
    </w:p>
    <w:p>
      <w:pPr>
        <w:pStyle w:val="ListBullet"/>
        <w:spacing w:after="40"/>
      </w:pPr>
      <w:r>
        <w:t>Ne pas suggérer qu’un résultat comparable est garanti.</w:t>
      </w:r>
    </w:p>
    <w:p>
      <w:pPr>
        <w:pStyle w:val="Heading2"/>
      </w:pPr>
      <w:r>
        <w:t>Issues à afficher</w:t>
      </w:r>
    </w:p>
    <w:p>
      <w:pPr>
        <w:pStyle w:val="ListBullet"/>
        <w:spacing w:after="40"/>
      </w:pPr>
      <w:r>
        <w:t>Cas 1 Cyberattaque : « Reprise progressive de la production, préservation des preuves et mise en cause du prestataire d’infogérance. »</w:t>
      </w:r>
    </w:p>
    <w:p>
      <w:pPr>
        <w:pStyle w:val="ListBullet"/>
        <w:spacing w:after="40"/>
      </w:pPr>
      <w:r>
        <w:t>Cas 2 Projet d’intelligence artificielle : « Gouvernance et documentation de conformité mises en place ; levée de fonds conclue dans les délais. »</w:t>
      </w:r>
    </w:p>
    <w:p>
      <w:pPr>
        <w:pStyle w:val="ListBullet"/>
        <w:spacing w:after="40"/>
      </w:pPr>
      <w:r>
        <w:t>Cas 3 Violation de données : « Notification réalisée dans les délais, personnes concernées informées et responsabilité du sous-traitant documentée. »</w:t>
      </w:r>
    </w:p>
    <w:p>
      <w:pPr>
        <w:pStyle w:val="ListBullet"/>
        <w:spacing w:after="40"/>
      </w:pPr>
      <w:r>
        <w:t>Supprimer partout « Issue à renseigner par le cabinet ».</w:t>
      </w:r>
    </w:p>
    <w:p>
      <w:pPr>
        <w:pStyle w:val="Heading2"/>
      </w:pPr>
      <w:r>
        <w:t>Exigences visuelles</w:t>
      </w:r>
    </w:p>
    <w:p>
      <w:pPr>
        <w:pStyle w:val="ListBullet"/>
        <w:spacing w:after="40"/>
      </w:pPr>
      <w:r>
        <w:t>Conserver les trois couleurs comme repères, accompagnées de titres et libellés ; la couleur ne doit jamais porter seule le sens.</w:t>
      </w:r>
    </w:p>
    <w:p>
      <w:pPr>
        <w:pStyle w:val="ListBullet"/>
        <w:spacing w:after="40"/>
      </w:pPr>
      <w:r>
        <w:t>Aligner titres, corps et libellés ; éviter les textes centrés trop longs.</w:t>
      </w:r>
    </w:p>
    <w:p>
      <w:pPr>
        <w:pStyle w:val="ListBullet"/>
        <w:spacing w:after="40"/>
      </w:pPr>
      <w:r>
        <w:t>Permettre aux cartes de grandir avec leur contenu ; ne pas imposer une hauteur fixe qui tronque ou tasse le texte.</w:t>
      </w:r>
    </w:p>
    <w:p>
      <w:pPr>
        <w:pStyle w:val="ListBullet"/>
        <w:spacing w:after="40"/>
      </w:pPr>
      <w:r>
        <w:t>La version imprimée et PDF doit afficher le texte dans le bon sens.</w:t>
      </w:r>
    </w:p>
    <w:p>
      <w:pPr>
        <w:pStyle w:val="Heading1"/>
      </w:pPr>
      <w:r>
        <w:t>6 Équipe</w:t>
      </w:r>
    </w:p>
    <w:p>
      <w:pPr>
        <w:spacing w:after="80"/>
      </w:pPr>
      <w:r>
        <w:rPr>
          <w:b/>
        </w:rPr>
        <w:t xml:space="preserve">Conserver. </w:t>
      </w:r>
      <w:r>
        <w:t>Le titre « Des avocats qui comprennent le code. Des experts techniques qui comprennent le droit. », cinq profils et le lien vers la page du cabinet.</w:t>
      </w:r>
    </w:p>
    <w:p>
      <w:pPr>
        <w:spacing w:after="80"/>
      </w:pPr>
      <w:r>
        <w:rPr>
          <w:b/>
        </w:rPr>
        <w:t xml:space="preserve">Correction de fonction. </w:t>
      </w:r>
      <w:r>
        <w:t>Amir Ben Majed : « Contrats IT et contentieux informatique ». Vérifier et uniformiser l’intitulé exact du barreau sur toutes les pages et données structurées.</w:t>
      </w:r>
    </w:p>
    <w:p>
      <w:pPr>
        <w:spacing w:after="80"/>
      </w:pPr>
      <w:r>
        <w:rPr>
          <w:b/>
        </w:rPr>
        <w:t xml:space="preserve">Positionnement. </w:t>
      </w:r>
      <w:r>
        <w:t>Écrire « Avocats et experts techniques travaillent ensemble sur les dossiers qui exigent une compréhension juridique et technologique. » Supprimer « hors cabinet », « ils n’en sont pas membres » et toute présentation des experts comme simples intervenants extérieurs.</w:t>
      </w:r>
    </w:p>
    <w:p>
      <w:pPr>
        <w:pStyle w:val="Heading2"/>
      </w:pPr>
      <w:r>
        <w:t>Améliorations visuelles</w:t>
      </w:r>
    </w:p>
    <w:p>
      <w:pPr>
        <w:pStyle w:val="ListBullet"/>
        <w:spacing w:after="40"/>
      </w:pPr>
      <w:r>
        <w:t>Composer trois portraits d’avocats sur la première rangée et deux portraits d’experts centrés sur la seconde. Ne pas réduire les cinq personnes pour les faire tenir sur une ligne.</w:t>
      </w:r>
    </w:p>
    <w:p>
      <w:pPr>
        <w:pStyle w:val="ListBullet"/>
        <w:spacing w:after="40"/>
      </w:pPr>
      <w:r>
        <w:t>Limiter chaque carte à environ 260 à 285 px de large et la grille à environ 880 à 900 px. Réduire les portraits de la deuxième maquette d’environ 20 à 25 %.</w:t>
      </w:r>
    </w:p>
    <w:p>
      <w:pPr>
        <w:pStyle w:val="ListBullet"/>
        <w:spacing w:after="40"/>
      </w:pPr>
      <w:r>
        <w:t>Définir un ratio, une hauteur, un cadrage et un traitement colorimétrique communs.</w:t>
      </w:r>
    </w:p>
    <w:p>
      <w:pPr>
        <w:pStyle w:val="ListBullet"/>
        <w:spacing w:after="40"/>
      </w:pPr>
      <w:r>
        <w:t>Priorité aux trois avocats : portraits plus professionnels et cohérents entre eux ; éviter verre, terrasse ou contexte sportif comme image principale.</w:t>
      </w:r>
    </w:p>
    <w:p>
      <w:pPr>
        <w:pStyle w:val="ListBullet"/>
        <w:spacing w:after="40"/>
      </w:pPr>
      <w:r>
        <w:t>Afficher seulement les qualités professionnelles exactes : Alexandre Lazarègue, avocat au barreau de Paris ; Sarah Hinderer, avocate aux barreaux de Paris et de Montréal ; Amir Ben Majed, avocat au barreau d’Évry ; Khalid Sookia, consultant en cybersécurité ; Nadia Abchiche-Mimouni, experte en intelligence artificielle et éthique algorithmique.</w:t>
      </w:r>
    </w:p>
    <w:p>
      <w:pPr>
        <w:pStyle w:val="ListBullet"/>
        <w:spacing w:after="40"/>
      </w:pPr>
      <w:r>
        <w:t>Ne pas générer ni inventer de nouvelles personnes ; utiliser les images validées ou des emplacements clairement signalés dans la maquette.</w:t>
      </w:r>
    </w:p>
    <w:p>
      <w:pPr>
        <w:pStyle w:val="ListBullet"/>
        <w:spacing w:after="40"/>
      </w:pPr>
      <w:r>
        <w:t>Augmenter la lisibilité des fonctions sans ajouter de badge membre, hors cabinet ou indépendant.</w:t>
      </w:r>
    </w:p>
    <w:p>
      <w:pPr>
        <w:pStyle w:val="Heading1"/>
      </w:pPr>
      <w:r>
        <w:t>7 Contributions et presse</w:t>
      </w:r>
    </w:p>
    <w:p>
      <w:pPr>
        <w:spacing w:after="80"/>
      </w:pPr>
      <w:r>
        <w:rPr>
          <w:b/>
        </w:rPr>
        <w:t xml:space="preserve">Conserver. </w:t>
      </w:r>
      <w:r>
        <w:t>La logique de preuve par des interventions publiques et la présentation sous forme de références éditoriales.</w:t>
      </w:r>
    </w:p>
    <w:p>
      <w:pPr>
        <w:spacing w:after="80"/>
      </w:pPr>
      <w:r>
        <w:rPr>
          <w:b/>
        </w:rPr>
        <w:t xml:space="preserve">Accroche à conserver. </w:t>
      </w:r>
      <w:r>
        <w:t>« Parce que le droit du numérique se construit aussi dans l’espace public, nous contribuons aux débats. » Ne pas la remplacer par le seul titre froid « Interventions publiques ».</w:t>
      </w:r>
    </w:p>
    <w:p>
      <w:pPr>
        <w:spacing w:after="80"/>
      </w:pPr>
      <w:r>
        <w:rPr>
          <w:b/>
        </w:rPr>
        <w:t xml:space="preserve">Supprimer. </w:t>
      </w:r>
      <w:r>
        <w:t>L’article consacré à la canicule au travail et la présentation du livre Le juge bashing sur la home. Ils peuvent rester accessibles ailleurs.</w:t>
      </w:r>
    </w:p>
    <w:p>
      <w:pPr>
        <w:spacing w:after="80"/>
      </w:pPr>
      <w:r>
        <w:rPr>
          <w:b/>
        </w:rPr>
        <w:t xml:space="preserve">Supprimer. </w:t>
      </w:r>
      <w:r>
        <w:t>Les numéros décoratifs 01, 02 et 04.</w:t>
      </w:r>
    </w:p>
    <w:p>
      <w:pPr>
        <w:spacing w:after="80"/>
      </w:pPr>
      <w:r>
        <w:rPr>
          <w:b/>
        </w:rPr>
        <w:t xml:space="preserve">Sélection finale. </w:t>
      </w:r>
      <w:r>
        <w:t>Le Monde sur la souveraineté numérique ; Capital sur la fraude bancaire ; Sud Ouest sur les outils d’intelligence artificielle utilisés par les entreprises ; Le Revenu sur la fraude bancaire et les refus d’indemnisation.</w:t>
      </w:r>
    </w:p>
    <w:p>
      <w:pPr>
        <w:pStyle w:val="Heading2"/>
      </w:pPr>
      <w:r>
        <w:t>Règles de maquette et contenu</w:t>
      </w:r>
    </w:p>
    <w:p>
      <w:pPr>
        <w:pStyle w:val="ListBullet"/>
        <w:spacing w:after="40"/>
      </w:pPr>
      <w:r>
        <w:t>Afficher quatre références de même niveau et toutes rattachées au numérique.</w:t>
      </w:r>
    </w:p>
    <w:p>
      <w:pPr>
        <w:pStyle w:val="ListBullet"/>
        <w:spacing w:after="40"/>
      </w:pPr>
      <w:r>
        <w:t>Rendre média, nature du contenu et titre immédiatement identifiables.</w:t>
      </w:r>
    </w:p>
    <w:p>
      <w:pPr>
        <w:pStyle w:val="ListBullet"/>
        <w:spacing w:after="40"/>
      </w:pPr>
      <w:r>
        <w:t>Utiliser les vraies URL ; ouverture dans un nouvel onglet avec rel approprié pour les liens externes.</w:t>
      </w:r>
    </w:p>
    <w:p>
      <w:pPr>
        <w:pStyle w:val="ListBullet"/>
        <w:spacing w:after="40"/>
      </w:pPr>
      <w:r>
        <w:t>Éviter de surcharger les cartes avec date, catégorie et métadonnées minuscules.</w:t>
      </w:r>
    </w:p>
    <w:p>
      <w:pPr>
        <w:pStyle w:val="ListBullet"/>
        <w:spacing w:after="40"/>
      </w:pPr>
      <w:r>
        <w:t>Prévoir un ordre éditorial : référence la plus structurante ou la plus récente en premier, sans numéro artificiel.</w:t>
      </w:r>
    </w:p>
    <w:p>
      <w:pPr>
        <w:pStyle w:val="Heading1"/>
      </w:pPr>
      <w:r>
        <w:t>8 Appel final et footer</w:t>
      </w:r>
    </w:p>
    <w:p>
      <w:pPr>
        <w:spacing w:after="80"/>
      </w:pPr>
      <w:r>
        <w:rPr>
          <w:b/>
        </w:rPr>
        <w:t xml:space="preserve">Conserver. </w:t>
      </w:r>
      <w:r>
        <w:t>« Votre problème numérique a une solution. » et le bouton « Exposer votre situation à un avocat ». Vérifier que ce libellé est cohérent avec le CTA du hero.</w:t>
      </w:r>
    </w:p>
    <w:p>
      <w:pPr>
        <w:spacing w:after="80"/>
      </w:pPr>
      <w:r>
        <w:rPr>
          <w:b/>
        </w:rPr>
        <w:t xml:space="preserve">Réseaux sociaux. </w:t>
      </w:r>
      <w:r>
        <w:t>Supprimer entièrement le lien et l’icône X. Lier LinkedIn vers https://www.linkedin.com/in/alexandre-lazarègue/. Aucun href vide ou égal à # ne doit subsister.</w:t>
      </w:r>
    </w:p>
    <w:p>
      <w:pPr>
        <w:spacing w:after="80"/>
      </w:pPr>
      <w:r>
        <w:rPr>
          <w:b/>
        </w:rPr>
        <w:t xml:space="preserve">Coordonnées. </w:t>
      </w:r>
      <w:r>
        <w:t>Conserver téléphone, email et adresse. Vérifier partout « 18 rue de Tilsitt ».</w:t>
      </w:r>
    </w:p>
    <w:p>
      <w:pPr>
        <w:pStyle w:val="Heading2"/>
      </w:pPr>
      <w:r>
        <w:t>Corrections techniques</w:t>
      </w:r>
    </w:p>
    <w:p>
      <w:pPr>
        <w:pStyle w:val="ListBullet"/>
        <w:spacing w:after="40"/>
      </w:pPr>
      <w:r>
        <w:t>Les liens téléphone utilisent tel:+33181706200 et l’email un mailto correct.</w:t>
      </w:r>
    </w:p>
    <w:p>
      <w:pPr>
        <w:pStyle w:val="ListBullet"/>
        <w:spacing w:after="40"/>
      </w:pPr>
      <w:r>
        <w:t>Les liens externes disposent d’un libellé accessible explicite.</w:t>
      </w:r>
    </w:p>
    <w:p>
      <w:pPr>
        <w:pStyle w:val="ListBullet"/>
        <w:spacing w:after="40"/>
      </w:pPr>
      <w:r>
        <w:t>Le footer reste navigable au clavier et lisible à 200 % de zoom.</w:t>
      </w:r>
    </w:p>
    <w:p>
      <w:pPr>
        <w:pStyle w:val="ListBullet"/>
        <w:spacing w:after="40"/>
      </w:pPr>
      <w:r>
        <w:t>La barre mobile Écrire et Téléphone doit respecter les zones sûres iOS et ne pas masquer le dernier contenu.</w:t>
      </w:r>
    </w:p>
    <w:p>
      <w:pPr>
        <w:pStyle w:val="Heading1"/>
      </w:pPr>
      <w:r>
        <w:t>Exigences transversales SEO et HTML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4997"/>
            <w:shd w:fill="0A0F2E"/>
            <w:vAlign w:val="center"/>
            <w:tcMar>
              <w:top w:w="90" w:type="dxa"/>
              <w:start w:w="110" w:type="dxa"/>
              <w:bottom w:w="90" w:type="dxa"/>
              <w:end w:w="110" w:type="dxa"/>
            </w:tcMar>
          </w:tcPr>
          <w:p>
            <w:pPr>
              <w:jc w:val="center"/>
            </w:pPr>
            <w:r>
              <w:rPr>
                <w:b/>
                <w:color w:val="FFFFFF"/>
                <w:sz w:val="18"/>
              </w:rPr>
              <w:t>Contrôle</w:t>
            </w:r>
          </w:p>
        </w:tc>
        <w:tc>
          <w:tcPr>
            <w:tcW w:type="dxa" w:w="4997"/>
            <w:shd w:fill="0A0F2E"/>
            <w:vAlign w:val="center"/>
            <w:tcMar>
              <w:top w:w="90" w:type="dxa"/>
              <w:start w:w="110" w:type="dxa"/>
              <w:bottom w:w="90" w:type="dxa"/>
              <w:end w:w="110" w:type="dxa"/>
            </w:tcMar>
          </w:tcPr>
          <w:p>
            <w:pPr>
              <w:jc w:val="center"/>
            </w:pPr>
            <w:r>
              <w:rPr>
                <w:b/>
                <w:color w:val="FFFFFF"/>
                <w:sz w:val="18"/>
              </w:rPr>
              <w:t>Exigence de recette</w:t>
            </w:r>
          </w:p>
        </w:tc>
      </w:tr>
      <w:tr>
        <w:trPr>
          <w:cantSplit/>
        </w:trPr>
        <w:tc>
          <w:tcPr>
            <w:tcW w:type="dxa" w:w="2088"/>
            <w:vAlign w:val="center"/>
            <w:tcMar>
              <w:top w:w="90" w:type="dxa"/>
              <w:start w:w="110" w:type="dxa"/>
              <w:bottom w:w="90" w:type="dxa"/>
              <w:end w:w="110" w:type="dxa"/>
            </w:tcMar>
          </w:tcPr>
          <w:p>
            <w:pPr>
              <w:spacing w:after="0" w:line="252" w:lineRule="auto"/>
            </w:pPr>
            <w:r>
              <w:rPr>
                <w:sz w:val="17"/>
              </w:rPr>
              <w:t>Title</w:t>
            </w:r>
          </w:p>
        </w:tc>
        <w:tc>
          <w:tcPr>
            <w:tcW w:type="dxa" w:w="7632"/>
            <w:vAlign w:val="center"/>
            <w:tcMar>
              <w:top w:w="90" w:type="dxa"/>
              <w:start w:w="110" w:type="dxa"/>
              <w:bottom w:w="90" w:type="dxa"/>
              <w:end w:w="110" w:type="dxa"/>
            </w:tcMar>
          </w:tcPr>
          <w:p>
            <w:pPr>
              <w:spacing w:after="0" w:line="252" w:lineRule="auto"/>
            </w:pPr>
            <w:r>
              <w:rPr>
                <w:sz w:val="17"/>
              </w:rPr>
              <w:t>Conserver « Avocat droit du numérique à Paris | Lazarègue Avocats » sauf nouvel arbitrage SEO.</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Meta description</w:t>
            </w:r>
          </w:p>
        </w:tc>
        <w:tc>
          <w:tcPr>
            <w:tcW w:type="dxa" w:w="7632"/>
            <w:vAlign w:val="center"/>
            <w:tcMar>
              <w:top w:w="90" w:type="dxa"/>
              <w:start w:w="110" w:type="dxa"/>
              <w:bottom w:w="90" w:type="dxa"/>
              <w:end w:w="110" w:type="dxa"/>
            </w:tcMar>
            <w:shd w:fill="F4F6FA"/>
          </w:tcPr>
          <w:p>
            <w:pPr>
              <w:spacing w:after="0" w:line="252" w:lineRule="auto"/>
            </w:pPr>
            <w:r>
              <w:rPr>
                <w:sz w:val="17"/>
              </w:rPr>
              <w:t>Conserver une description précise du cabinet et de ses domaines, sans accumulation artificielle.</w:t>
            </w:r>
          </w:p>
        </w:tc>
      </w:tr>
      <w:tr>
        <w:trPr>
          <w:cantSplit/>
        </w:trPr>
        <w:tc>
          <w:tcPr>
            <w:tcW w:type="dxa" w:w="2088"/>
            <w:vAlign w:val="center"/>
            <w:tcMar>
              <w:top w:w="90" w:type="dxa"/>
              <w:start w:w="110" w:type="dxa"/>
              <w:bottom w:w="90" w:type="dxa"/>
              <w:end w:w="110" w:type="dxa"/>
            </w:tcMar>
          </w:tcPr>
          <w:p>
            <w:pPr>
              <w:spacing w:after="0" w:line="252" w:lineRule="auto"/>
            </w:pPr>
            <w:r>
              <w:rPr>
                <w:sz w:val="17"/>
              </w:rPr>
              <w:t>Indexation</w:t>
            </w:r>
          </w:p>
        </w:tc>
        <w:tc>
          <w:tcPr>
            <w:tcW w:type="dxa" w:w="7632"/>
            <w:vAlign w:val="center"/>
            <w:tcMar>
              <w:top w:w="90" w:type="dxa"/>
              <w:start w:w="110" w:type="dxa"/>
              <w:bottom w:w="90" w:type="dxa"/>
              <w:end w:w="110" w:type="dxa"/>
            </w:tcMar>
          </w:tcPr>
          <w:p>
            <w:pPr>
              <w:spacing w:after="0" w:line="252" w:lineRule="auto"/>
            </w:pPr>
            <w:r>
              <w:rPr>
                <w:sz w:val="17"/>
              </w:rPr>
              <w:t>Maintenir noindex et X-Robots-Tag noindex sur la préproduction. Les retirer tous les deux lors du passage en production.</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Canonical</w:t>
            </w:r>
          </w:p>
        </w:tc>
        <w:tc>
          <w:tcPr>
            <w:tcW w:type="dxa" w:w="7632"/>
            <w:vAlign w:val="center"/>
            <w:tcMar>
              <w:top w:w="90" w:type="dxa"/>
              <w:start w:w="110" w:type="dxa"/>
              <w:bottom w:w="90" w:type="dxa"/>
              <w:end w:w="110" w:type="dxa"/>
            </w:tcMar>
            <w:shd w:fill="F4F6FA"/>
          </w:tcPr>
          <w:p>
            <w:pPr>
              <w:spacing w:after="0" w:line="252" w:lineRule="auto"/>
            </w:pPr>
            <w:r>
              <w:rPr>
                <w:sz w:val="17"/>
              </w:rPr>
              <w:t>En production, pointer vers l’URL canonique définitive exacte de la home.</w:t>
            </w:r>
          </w:p>
        </w:tc>
      </w:tr>
      <w:tr>
        <w:trPr>
          <w:cantSplit/>
        </w:trPr>
        <w:tc>
          <w:tcPr>
            <w:tcW w:type="dxa" w:w="2088"/>
            <w:vAlign w:val="center"/>
            <w:tcMar>
              <w:top w:w="90" w:type="dxa"/>
              <w:start w:w="110" w:type="dxa"/>
              <w:bottom w:w="90" w:type="dxa"/>
              <w:end w:w="110" w:type="dxa"/>
            </w:tcMar>
          </w:tcPr>
          <w:p>
            <w:pPr>
              <w:spacing w:after="0" w:line="252" w:lineRule="auto"/>
            </w:pPr>
            <w:r>
              <w:rPr>
                <w:sz w:val="17"/>
              </w:rPr>
              <w:t>Titres</w:t>
            </w:r>
          </w:p>
        </w:tc>
        <w:tc>
          <w:tcPr>
            <w:tcW w:type="dxa" w:w="7632"/>
            <w:vAlign w:val="center"/>
            <w:tcMar>
              <w:top w:w="90" w:type="dxa"/>
              <w:start w:w="110" w:type="dxa"/>
              <w:bottom w:w="90" w:type="dxa"/>
              <w:end w:w="110" w:type="dxa"/>
            </w:tcMar>
          </w:tcPr>
          <w:p>
            <w:pPr>
              <w:spacing w:after="0" w:line="252" w:lineRule="auto"/>
            </w:pPr>
            <w:r>
              <w:rPr>
                <w:sz w:val="17"/>
              </w:rPr>
              <w:t>Un H1 unique. H2 pour chaque section principale. H3 pour les cartes lorsque nécessaire. Aucun niveau choisi seulement pour sa taille.</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Liens internes</w:t>
            </w:r>
          </w:p>
        </w:tc>
        <w:tc>
          <w:tcPr>
            <w:tcW w:type="dxa" w:w="7632"/>
            <w:vAlign w:val="center"/>
            <w:tcMar>
              <w:top w:w="90" w:type="dxa"/>
              <w:start w:w="110" w:type="dxa"/>
              <w:bottom w:w="90" w:type="dxa"/>
              <w:end w:w="110" w:type="dxa"/>
            </w:tcMar>
            <w:shd w:fill="F4F6FA"/>
          </w:tcPr>
          <w:p>
            <w:pPr>
              <w:spacing w:after="0" w:line="252" w:lineRule="auto"/>
            </w:pPr>
            <w:r>
              <w:rPr>
                <w:sz w:val="17"/>
              </w:rPr>
              <w:t>Aucun href #, aucune ancre cassée, aucune ancienne URL sans redirection.</w:t>
            </w:r>
          </w:p>
        </w:tc>
      </w:tr>
      <w:tr>
        <w:trPr>
          <w:cantSplit/>
        </w:trPr>
        <w:tc>
          <w:tcPr>
            <w:tcW w:type="dxa" w:w="2088"/>
            <w:vAlign w:val="center"/>
            <w:tcMar>
              <w:top w:w="90" w:type="dxa"/>
              <w:start w:w="110" w:type="dxa"/>
              <w:bottom w:w="90" w:type="dxa"/>
              <w:end w:w="110" w:type="dxa"/>
            </w:tcMar>
          </w:tcPr>
          <w:p>
            <w:pPr>
              <w:spacing w:after="0" w:line="252" w:lineRule="auto"/>
            </w:pPr>
            <w:r>
              <w:rPr>
                <w:sz w:val="17"/>
              </w:rPr>
              <w:t>Données structurées</w:t>
            </w:r>
          </w:p>
        </w:tc>
        <w:tc>
          <w:tcPr>
            <w:tcW w:type="dxa" w:w="7632"/>
            <w:vAlign w:val="center"/>
            <w:tcMar>
              <w:top w:w="90" w:type="dxa"/>
              <w:start w:w="110" w:type="dxa"/>
              <w:bottom w:w="90" w:type="dxa"/>
              <w:end w:w="110" w:type="dxa"/>
            </w:tcMar>
          </w:tcPr>
          <w:p>
            <w:pPr>
              <w:spacing w:after="0" w:line="252" w:lineRule="auto"/>
            </w:pPr>
            <w:r>
              <w:rPr>
                <w:sz w:val="17"/>
              </w:rPr>
              <w:t>Mettre à jour LegalService et Person après correction des rôles et URL. Ne pas inventer d’avis, de récompense ou de résultat.</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Contenu animé</w:t>
            </w:r>
          </w:p>
        </w:tc>
        <w:tc>
          <w:tcPr>
            <w:tcW w:type="dxa" w:w="7632"/>
            <w:vAlign w:val="center"/>
            <w:tcMar>
              <w:top w:w="90" w:type="dxa"/>
              <w:start w:w="110" w:type="dxa"/>
              <w:bottom w:w="90" w:type="dxa"/>
              <w:end w:w="110" w:type="dxa"/>
            </w:tcMar>
            <w:shd w:fill="F4F6FA"/>
          </w:tcPr>
          <w:p>
            <w:pPr>
              <w:spacing w:after="0" w:line="252" w:lineRule="auto"/>
            </w:pPr>
            <w:r>
              <w:rPr>
                <w:sz w:val="17"/>
              </w:rPr>
              <w:t>Le contenu important existe dans le DOM initial et reste compréhensible sans animation.</w:t>
            </w:r>
          </w:p>
        </w:tc>
      </w:tr>
      <w:tr>
        <w:trPr>
          <w:cantSplit/>
        </w:trPr>
        <w:tc>
          <w:tcPr>
            <w:tcW w:type="dxa" w:w="2088"/>
            <w:vAlign w:val="center"/>
            <w:tcMar>
              <w:top w:w="90" w:type="dxa"/>
              <w:start w:w="110" w:type="dxa"/>
              <w:bottom w:w="90" w:type="dxa"/>
              <w:end w:w="110" w:type="dxa"/>
            </w:tcMar>
          </w:tcPr>
          <w:p>
            <w:pPr>
              <w:spacing w:after="0" w:line="252" w:lineRule="auto"/>
            </w:pPr>
            <w:r>
              <w:rPr>
                <w:sz w:val="17"/>
              </w:rPr>
              <w:t>Images</w:t>
            </w:r>
          </w:p>
        </w:tc>
        <w:tc>
          <w:tcPr>
            <w:tcW w:type="dxa" w:w="7632"/>
            <w:vAlign w:val="center"/>
            <w:tcMar>
              <w:top w:w="90" w:type="dxa"/>
              <w:start w:w="110" w:type="dxa"/>
              <w:bottom w:w="90" w:type="dxa"/>
              <w:end w:w="110" w:type="dxa"/>
            </w:tcMar>
          </w:tcPr>
          <w:p>
            <w:pPr>
              <w:spacing w:after="0" w:line="252" w:lineRule="auto"/>
            </w:pPr>
            <w:r>
              <w:rPr>
                <w:sz w:val="17"/>
              </w:rPr>
              <w:t>Dimensions explicites, formats WebP/AVIF si adaptés, srcset et sizes cohérents, chargement prioritaire limité au hero.</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Sitemap</w:t>
            </w:r>
          </w:p>
        </w:tc>
        <w:tc>
          <w:tcPr>
            <w:tcW w:type="dxa" w:w="7632"/>
            <w:vAlign w:val="center"/>
            <w:tcMar>
              <w:top w:w="90" w:type="dxa"/>
              <w:start w:w="110" w:type="dxa"/>
              <w:bottom w:w="90" w:type="dxa"/>
              <w:end w:w="110" w:type="dxa"/>
            </w:tcMar>
            <w:shd w:fill="F4F6FA"/>
          </w:tcPr>
          <w:p>
            <w:pPr>
              <w:spacing w:after="0" w:line="252" w:lineRule="auto"/>
            </w:pPr>
            <w:r>
              <w:rPr>
                <w:sz w:val="17"/>
              </w:rPr>
              <w:t>Inclure les dix pages finales sous la taxonomie retenue et exclure les anciennes après redirection.</w:t>
            </w:r>
          </w:p>
        </w:tc>
      </w:tr>
    </w:tbl>
    <w:p>
      <w:pPr>
        <w:spacing w:after="20"/>
      </w:pPr>
    </w:p>
    <w:p>
      <w:pPr>
        <w:pStyle w:val="Heading1"/>
      </w:pPr>
      <w:r>
        <w:t>Exigences transversales accessibilité</w:t>
      </w:r>
    </w:p>
    <w:p>
      <w:pPr>
        <w:pStyle w:val="ListBullet"/>
        <w:spacing w:after="40"/>
      </w:pPr>
      <w:r>
        <w:t>Navigation complète au clavier, dans l’ordre visuel, avec focus toujours visible.</w:t>
      </w:r>
    </w:p>
    <w:p>
      <w:pPr>
        <w:pStyle w:val="ListBullet"/>
        <w:spacing w:after="40"/>
      </w:pPr>
      <w:r>
        <w:t>Le menu Domaines et le menu mobile doivent gérer ouverture, fermeture, touche Échap, focus initial et restitution du focus.</w:t>
      </w:r>
    </w:p>
    <w:p>
      <w:pPr>
        <w:pStyle w:val="ListBullet"/>
        <w:spacing w:after="40"/>
      </w:pPr>
      <w:r>
        <w:t>Mesurer les contrastes ; renforcer en priorité les descriptions des compétences et les petites métadonnées utiles.</w:t>
      </w:r>
    </w:p>
    <w:p>
      <w:pPr>
        <w:pStyle w:val="ListBullet"/>
        <w:spacing w:after="40"/>
      </w:pPr>
      <w:r>
        <w:t>Tous les boutons et liens possèdent un nom accessible correspondant à leur action réelle.</w:t>
      </w:r>
    </w:p>
    <w:p>
      <w:pPr>
        <w:pStyle w:val="ListBullet"/>
        <w:spacing w:after="40"/>
      </w:pPr>
      <w:r>
        <w:t>Utiliser des éléments natifs a, button, nav, header, main, section et footer ; éviter les div interactives.</w:t>
      </w:r>
    </w:p>
    <w:p>
      <w:pPr>
        <w:pStyle w:val="ListBullet"/>
        <w:spacing w:after="40"/>
      </w:pPr>
      <w:r>
        <w:t>Les images informatives ont un alt utile ; les images décoratives ont alt vide et ne sont pas annoncées.</w:t>
      </w:r>
    </w:p>
    <w:p>
      <w:pPr>
        <w:pStyle w:val="ListBullet"/>
        <w:spacing w:after="40"/>
      </w:pPr>
      <w:r>
        <w:t>À 200 % de zoom, aucun chevauchement, texte tronqué ou action inaccessible.</w:t>
      </w:r>
    </w:p>
    <w:p>
      <w:pPr>
        <w:pStyle w:val="ListBullet"/>
        <w:spacing w:after="40"/>
      </w:pPr>
      <w:r>
        <w:t>Avec prefers-reduced-motion, conserver tout le sens sans rotation, retournement ou révélation nécessaire.</w:t>
      </w:r>
    </w:p>
    <w:p>
      <w:pPr>
        <w:pStyle w:val="ListBullet"/>
        <w:spacing w:after="40"/>
      </w:pPr>
      <w:r>
        <w:t>La couleur est toujours accompagnée d’un texte, d’une forme ou d’un libellé.</w:t>
      </w:r>
    </w:p>
    <w:p>
      <w:pPr>
        <w:pStyle w:val="Heading1"/>
      </w:pPr>
      <w:r>
        <w:t>Exigences responsive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4997"/>
            <w:shd w:fill="0A0F2E"/>
            <w:vAlign w:val="center"/>
            <w:tcMar>
              <w:top w:w="90" w:type="dxa"/>
              <w:start w:w="110" w:type="dxa"/>
              <w:bottom w:w="90" w:type="dxa"/>
              <w:end w:w="110" w:type="dxa"/>
            </w:tcMar>
          </w:tcPr>
          <w:p>
            <w:pPr>
              <w:jc w:val="center"/>
            </w:pPr>
            <w:r>
              <w:rPr>
                <w:b/>
                <w:color w:val="FFFFFF"/>
                <w:sz w:val="18"/>
              </w:rPr>
              <w:t>Largeur de contrôle</w:t>
            </w:r>
          </w:p>
        </w:tc>
        <w:tc>
          <w:tcPr>
            <w:tcW w:type="dxa" w:w="4997"/>
            <w:shd w:fill="0A0F2E"/>
            <w:vAlign w:val="center"/>
            <w:tcMar>
              <w:top w:w="90" w:type="dxa"/>
              <w:start w:w="110" w:type="dxa"/>
              <w:bottom w:w="90" w:type="dxa"/>
              <w:end w:w="110" w:type="dxa"/>
            </w:tcMar>
          </w:tcPr>
          <w:p>
            <w:pPr>
              <w:jc w:val="center"/>
            </w:pPr>
            <w:r>
              <w:rPr>
                <w:b/>
                <w:color w:val="FFFFFF"/>
                <w:sz w:val="18"/>
              </w:rPr>
              <w:t>Points à vérifier</w:t>
            </w:r>
          </w:p>
        </w:tc>
      </w:tr>
      <w:tr>
        <w:trPr>
          <w:cantSplit/>
        </w:trPr>
        <w:tc>
          <w:tcPr>
            <w:tcW w:type="dxa" w:w="2016"/>
            <w:vAlign w:val="center"/>
            <w:tcMar>
              <w:top w:w="90" w:type="dxa"/>
              <w:start w:w="110" w:type="dxa"/>
              <w:bottom w:w="90" w:type="dxa"/>
              <w:end w:w="110" w:type="dxa"/>
            </w:tcMar>
          </w:tcPr>
          <w:p>
            <w:pPr>
              <w:spacing w:after="0" w:line="252" w:lineRule="auto"/>
            </w:pPr>
            <w:r>
              <w:rPr>
                <w:sz w:val="17"/>
              </w:rPr>
              <w:t>320 px</w:t>
            </w:r>
          </w:p>
        </w:tc>
        <w:tc>
          <w:tcPr>
            <w:tcW w:type="dxa" w:w="7704"/>
            <w:vAlign w:val="center"/>
            <w:tcMar>
              <w:top w:w="90" w:type="dxa"/>
              <w:start w:w="110" w:type="dxa"/>
              <w:bottom w:w="90" w:type="dxa"/>
              <w:end w:w="110" w:type="dxa"/>
            </w:tcMar>
          </w:tcPr>
          <w:p>
            <w:pPr>
              <w:spacing w:after="0" w:line="252" w:lineRule="auto"/>
            </w:pPr>
            <w:r>
              <w:rPr>
                <w:sz w:val="17"/>
              </w:rPr>
              <w:t>Aucun débordement ; H1 lisible ; terme long sur deux lignes ; CTA accessible ; cartes en une colonne.</w:t>
            </w:r>
          </w:p>
        </w:tc>
      </w:tr>
      <w:tr>
        <w:trPr>
          <w:cantSplit/>
        </w:trPr>
        <w:tc>
          <w:tcPr>
            <w:tcW w:type="dxa" w:w="2016"/>
            <w:vAlign w:val="center"/>
            <w:tcMar>
              <w:top w:w="90" w:type="dxa"/>
              <w:start w:w="110" w:type="dxa"/>
              <w:bottom w:w="90" w:type="dxa"/>
              <w:end w:w="110" w:type="dxa"/>
            </w:tcMar>
            <w:shd w:fill="F4F6FA"/>
          </w:tcPr>
          <w:p>
            <w:pPr>
              <w:spacing w:after="0" w:line="252" w:lineRule="auto"/>
            </w:pPr>
            <w:r>
              <w:rPr>
                <w:sz w:val="17"/>
              </w:rPr>
              <w:t>375 à 390 px</w:t>
            </w:r>
          </w:p>
        </w:tc>
        <w:tc>
          <w:tcPr>
            <w:tcW w:type="dxa" w:w="7704"/>
            <w:vAlign w:val="center"/>
            <w:tcMar>
              <w:top w:w="90" w:type="dxa"/>
              <w:start w:w="110" w:type="dxa"/>
              <w:bottom w:w="90" w:type="dxa"/>
              <w:end w:w="110" w:type="dxa"/>
            </w:tcMar>
            <w:shd w:fill="F4F6FA"/>
          </w:tcPr>
          <w:p>
            <w:pPr>
              <w:spacing w:after="0" w:line="252" w:lineRule="auto"/>
            </w:pPr>
            <w:r>
              <w:rPr>
                <w:sz w:val="17"/>
              </w:rPr>
              <w:t>Trois premiers écrans : identité, promesse et action ; globe figé sur l’Europe ; barre basse sans recouvrement.</w:t>
            </w:r>
          </w:p>
        </w:tc>
      </w:tr>
      <w:tr>
        <w:trPr>
          <w:cantSplit/>
        </w:trPr>
        <w:tc>
          <w:tcPr>
            <w:tcW w:type="dxa" w:w="2016"/>
            <w:vAlign w:val="center"/>
            <w:tcMar>
              <w:top w:w="90" w:type="dxa"/>
              <w:start w:w="110" w:type="dxa"/>
              <w:bottom w:w="90" w:type="dxa"/>
              <w:end w:w="110" w:type="dxa"/>
            </w:tcMar>
          </w:tcPr>
          <w:p>
            <w:pPr>
              <w:spacing w:after="0" w:line="252" w:lineRule="auto"/>
            </w:pPr>
            <w:r>
              <w:rPr>
                <w:sz w:val="17"/>
              </w:rPr>
              <w:t>768 px</w:t>
            </w:r>
          </w:p>
        </w:tc>
        <w:tc>
          <w:tcPr>
            <w:tcW w:type="dxa" w:w="7704"/>
            <w:vAlign w:val="center"/>
            <w:tcMar>
              <w:top w:w="90" w:type="dxa"/>
              <w:start w:w="110" w:type="dxa"/>
              <w:bottom w:w="90" w:type="dxa"/>
              <w:end w:w="110" w:type="dxa"/>
            </w:tcMar>
          </w:tcPr>
          <w:p>
            <w:pPr>
              <w:spacing w:after="0" w:line="252" w:lineRule="auto"/>
            </w:pPr>
            <w:r>
              <w:rPr>
                <w:sz w:val="17"/>
              </w:rPr>
              <w:t>Menu adapté ; grilles en deux colonnes lorsque le contenu le permet ; aucun état intermédiaire cassé.</w:t>
            </w:r>
          </w:p>
        </w:tc>
      </w:tr>
      <w:tr>
        <w:trPr>
          <w:cantSplit/>
        </w:trPr>
        <w:tc>
          <w:tcPr>
            <w:tcW w:type="dxa" w:w="2016"/>
            <w:vAlign w:val="center"/>
            <w:tcMar>
              <w:top w:w="90" w:type="dxa"/>
              <w:start w:w="110" w:type="dxa"/>
              <w:bottom w:w="90" w:type="dxa"/>
              <w:end w:w="110" w:type="dxa"/>
            </w:tcMar>
            <w:shd w:fill="F4F6FA"/>
          </w:tcPr>
          <w:p>
            <w:pPr>
              <w:spacing w:after="0" w:line="252" w:lineRule="auto"/>
            </w:pPr>
            <w:r>
              <w:rPr>
                <w:sz w:val="17"/>
              </w:rPr>
              <w:t>1024 px</w:t>
            </w:r>
          </w:p>
        </w:tc>
        <w:tc>
          <w:tcPr>
            <w:tcW w:type="dxa" w:w="7704"/>
            <w:vAlign w:val="center"/>
            <w:tcMar>
              <w:top w:w="90" w:type="dxa"/>
              <w:start w:w="110" w:type="dxa"/>
              <w:bottom w:w="90" w:type="dxa"/>
              <w:end w:w="110" w:type="dxa"/>
            </w:tcMar>
            <w:shd w:fill="F4F6FA"/>
          </w:tcPr>
          <w:p>
            <w:pPr>
              <w:spacing w:after="0" w:line="252" w:lineRule="auto"/>
            </w:pPr>
            <w:r>
              <w:rPr>
                <w:sz w:val="17"/>
              </w:rPr>
              <w:t>Hero équilibré ; globe sans recouvrement ; compétences et équipe sans colonnes trop étroites.</w:t>
            </w:r>
          </w:p>
        </w:tc>
      </w:tr>
      <w:tr>
        <w:trPr>
          <w:cantSplit/>
        </w:trPr>
        <w:tc>
          <w:tcPr>
            <w:tcW w:type="dxa" w:w="2016"/>
            <w:vAlign w:val="center"/>
            <w:tcMar>
              <w:top w:w="90" w:type="dxa"/>
              <w:start w:w="110" w:type="dxa"/>
              <w:bottom w:w="90" w:type="dxa"/>
              <w:end w:w="110" w:type="dxa"/>
            </w:tcMar>
          </w:tcPr>
          <w:p>
            <w:pPr>
              <w:spacing w:after="0" w:line="252" w:lineRule="auto"/>
            </w:pPr>
            <w:r>
              <w:rPr>
                <w:sz w:val="17"/>
              </w:rPr>
              <w:t>1280 à 1440 px</w:t>
            </w:r>
          </w:p>
        </w:tc>
        <w:tc>
          <w:tcPr>
            <w:tcW w:type="dxa" w:w="7704"/>
            <w:vAlign w:val="center"/>
            <w:tcMar>
              <w:top w:w="90" w:type="dxa"/>
              <w:start w:w="110" w:type="dxa"/>
              <w:bottom w:w="90" w:type="dxa"/>
              <w:end w:w="110" w:type="dxa"/>
            </w:tcMar>
          </w:tcPr>
          <w:p>
            <w:pPr>
              <w:spacing w:after="0" w:line="252" w:lineRule="auto"/>
            </w:pPr>
            <w:r>
              <w:rPr>
                <w:sz w:val="17"/>
              </w:rPr>
              <w:t>Composition de référence ; dix compétences harmonieuses ; alignements avec conteneur principal.</w:t>
            </w:r>
          </w:p>
        </w:tc>
      </w:tr>
      <w:tr>
        <w:trPr>
          <w:cantSplit/>
        </w:trPr>
        <w:tc>
          <w:tcPr>
            <w:tcW w:type="dxa" w:w="2016"/>
            <w:vAlign w:val="center"/>
            <w:tcMar>
              <w:top w:w="90" w:type="dxa"/>
              <w:start w:w="110" w:type="dxa"/>
              <w:bottom w:w="90" w:type="dxa"/>
              <w:end w:w="110" w:type="dxa"/>
            </w:tcMar>
            <w:shd w:fill="F4F6FA"/>
          </w:tcPr>
          <w:p>
            <w:pPr>
              <w:spacing w:after="0" w:line="252" w:lineRule="auto"/>
            </w:pPr>
            <w:r>
              <w:rPr>
                <w:sz w:val="17"/>
              </w:rPr>
              <w:t>Zoom 200 %</w:t>
            </w:r>
          </w:p>
        </w:tc>
        <w:tc>
          <w:tcPr>
            <w:tcW w:type="dxa" w:w="7704"/>
            <w:vAlign w:val="center"/>
            <w:tcMar>
              <w:top w:w="90" w:type="dxa"/>
              <w:start w:w="110" w:type="dxa"/>
              <w:bottom w:w="90" w:type="dxa"/>
              <w:end w:w="110" w:type="dxa"/>
            </w:tcMar>
            <w:shd w:fill="F4F6FA"/>
          </w:tcPr>
          <w:p>
            <w:pPr>
              <w:spacing w:after="0" w:line="252" w:lineRule="auto"/>
            </w:pPr>
            <w:r>
              <w:rPr>
                <w:sz w:val="17"/>
              </w:rPr>
              <w:t>Lecture et navigation sans perte d’information.</w:t>
            </w:r>
          </w:p>
        </w:tc>
      </w:tr>
    </w:tbl>
    <w:p>
      <w:pPr>
        <w:spacing w:after="20"/>
      </w:pPr>
    </w:p>
    <w:p>
      <w:pPr>
        <w:pStyle w:val="Heading1"/>
      </w:pPr>
      <w:r>
        <w:t>Exigences de performance</w:t>
      </w:r>
    </w:p>
    <w:p>
      <w:pPr>
        <w:pStyle w:val="ListBullet"/>
        <w:spacing w:after="40"/>
      </w:pPr>
      <w:r>
        <w:t>Le H1, le sous-titre et le CTA doivent apparaître avant les médias secondaires.</w:t>
      </w:r>
    </w:p>
    <w:p>
      <w:pPr>
        <w:pStyle w:val="ListBullet"/>
        <w:spacing w:after="40"/>
      </w:pPr>
      <w:r>
        <w:t>Le globe ne doit pas provoquer un déplacement de mise en page ni monopoliser le chargement mobile.</w:t>
      </w:r>
    </w:p>
    <w:p>
      <w:pPr>
        <w:pStyle w:val="ListBullet"/>
        <w:spacing w:after="40"/>
      </w:pPr>
      <w:r>
        <w:t>Conserver le lazy loading pour les images sous la ligne de flottaison.</w:t>
      </w:r>
    </w:p>
    <w:p>
      <w:pPr>
        <w:pStyle w:val="ListBullet"/>
        <w:spacing w:after="40"/>
      </w:pPr>
      <w:r>
        <w:t>Ne pas ajouter de bibliothèque pour une animation réalisable avec le système existant.</w:t>
      </w:r>
    </w:p>
    <w:p>
      <w:pPr>
        <w:pStyle w:val="ListBullet"/>
        <w:spacing w:after="40"/>
      </w:pPr>
      <w:r>
        <w:t>La dépendance aux icônes externes n’est pas prioritaire ; intervenir seulement si la mesure montre un coût réel ou un blocage.</w:t>
      </w:r>
    </w:p>
    <w:p>
      <w:pPr>
        <w:pStyle w:val="ListBullet"/>
        <w:spacing w:after="40"/>
      </w:pPr>
      <w:r>
        <w:t>Contrôler LCP, INP et CLS sur préproduction, mobile et desktop, avant publication.</w:t>
      </w:r>
    </w:p>
    <w:p>
      <w:pPr>
        <w:pStyle w:val="Heading1"/>
      </w:pPr>
      <w:r>
        <w:t>Éléments à ne pas faire</w:t>
      </w:r>
    </w:p>
    <w:p>
      <w:pPr>
        <w:pStyle w:val="ListBullet"/>
        <w:spacing w:after="40"/>
      </w:pPr>
      <w:r>
        <w:t>Ne pas refaire le site dans un nouveau framework ou dupliquer les composants existants.</w:t>
      </w:r>
    </w:p>
    <w:p>
      <w:pPr>
        <w:pStyle w:val="ListBullet"/>
        <w:spacing w:after="40"/>
      </w:pPr>
      <w:r>
        <w:t>Ne pas créer une seconde home parallèle destinée à remplacer progressivement la première.</w:t>
      </w:r>
    </w:p>
    <w:p>
      <w:pPr>
        <w:pStyle w:val="ListBullet"/>
        <w:spacing w:after="40"/>
      </w:pPr>
      <w:r>
        <w:t>Ne pas ajouter de nouvelles animations décoratives pour compenser la suppression du bloc statistique.</w:t>
      </w:r>
    </w:p>
    <w:p>
      <w:pPr>
        <w:pStyle w:val="ListBullet"/>
        <w:spacing w:after="40"/>
      </w:pPr>
      <w:r>
        <w:t>Ne pas inventer de cas, résultats, chiffres, témoignages, distinctions ou logos de clients.</w:t>
      </w:r>
    </w:p>
    <w:p>
      <w:pPr>
        <w:pStyle w:val="ListBullet"/>
        <w:spacing w:after="40"/>
      </w:pPr>
      <w:r>
        <w:t>Ne pas réduire les textes sous prétexte de faire tenir dix cartes sur une ligne.</w:t>
      </w:r>
    </w:p>
    <w:p>
      <w:pPr>
        <w:pStyle w:val="ListBullet"/>
        <w:spacing w:after="40"/>
      </w:pPr>
      <w:r>
        <w:t>Ne pas supprimer les attributs accessibles ou les comportements mobiles déjà présents.</w:t>
      </w:r>
    </w:p>
    <w:p>
      <w:pPr>
        <w:pStyle w:val="ListBullet"/>
        <w:spacing w:after="40"/>
      </w:pPr>
      <w:r>
        <w:t>Ne pas modifier les autres pages avant validation des impacts de navigation et de redirection.</w:t>
      </w:r>
    </w:p>
    <w:p>
      <w:pPr>
        <w:pStyle w:val="Heading1"/>
      </w:pPr>
      <w:r>
        <w:t>Livrables demandés à Claude pour la maquette</w:t>
      </w:r>
    </w:p>
    <w:p>
      <w:pPr>
        <w:spacing w:after="40"/>
      </w:pPr>
      <w:r>
        <w:rPr>
          <w:b/>
        </w:rPr>
        <w:t xml:space="preserve">1. </w:t>
      </w:r>
      <w:r>
        <w:t>Une maquette desktop complète à 1280 ou 1440 px montrant la page entière.</w:t>
      </w:r>
    </w:p>
    <w:p>
      <w:pPr>
        <w:spacing w:after="40"/>
      </w:pPr>
      <w:r>
        <w:rPr>
          <w:b/>
        </w:rPr>
        <w:t xml:space="preserve">2. </w:t>
      </w:r>
      <w:r>
        <w:t>Une maquette mobile complète à 390 px montrant l’ordre réel et la densité.</w:t>
      </w:r>
    </w:p>
    <w:p>
      <w:pPr>
        <w:spacing w:after="40"/>
      </w:pPr>
      <w:r>
        <w:rPr>
          <w:b/>
        </w:rPr>
        <w:t xml:space="preserve">3. </w:t>
      </w:r>
      <w:r>
        <w:t>Un état du hero pour le terme le plus long, droit de l’intelligence artificielle.</w:t>
      </w:r>
    </w:p>
    <w:p>
      <w:pPr>
        <w:spacing w:after="40"/>
      </w:pPr>
      <w:r>
        <w:rPr>
          <w:b/>
        </w:rPr>
        <w:t xml:space="preserve">4. </w:t>
      </w:r>
      <w:r>
        <w:t>Une proposition précise montrant les dix domaines regroupés en trois familles 3, 3 et 4, sur desktop et mobile.</w:t>
      </w:r>
    </w:p>
    <w:p>
      <w:pPr>
        <w:spacing w:after="40"/>
      </w:pPr>
      <w:r>
        <w:rPr>
          <w:b/>
        </w:rPr>
        <w:t xml:space="preserve">5. </w:t>
      </w:r>
      <w:r>
        <w:t>Les trois cartes de cas affichant Situation, Ce que nous avons fait et les trois issues arrêtées, sans retournement ni mention d’anonymisation.</w:t>
      </w:r>
    </w:p>
    <w:p>
      <w:pPr>
        <w:spacing w:after="40"/>
      </w:pPr>
      <w:r>
        <w:rPr>
          <w:b/>
        </w:rPr>
        <w:t xml:space="preserve">6. </w:t>
      </w:r>
      <w:r>
        <w:t>Les états normal, hover et focus des liens et cartes principaux.</w:t>
      </w:r>
    </w:p>
    <w:p>
      <w:pPr>
        <w:spacing w:after="40"/>
      </w:pPr>
      <w:r>
        <w:rPr>
          <w:b/>
        </w:rPr>
        <w:t xml:space="preserve">7. </w:t>
      </w:r>
      <w:r>
        <w:t>Un hero mobile à 320, 375 ou 390 et 430 px montrant le globe intégré, recadré et figé sur l’Europe, jamais isolé sous le CTA.</w:t>
      </w:r>
    </w:p>
    <w:p>
      <w:pPr>
        <w:spacing w:after="40"/>
      </w:pPr>
      <w:r>
        <w:rPr>
          <w:b/>
        </w:rPr>
        <w:t xml:space="preserve">8. </w:t>
      </w:r>
      <w:r>
        <w:t>Une liste des composants existants conservés, modifiés, supprimés et ajoutés.</w:t>
      </w:r>
    </w:p>
    <w:p>
      <w:pPr>
        <w:spacing w:after="40"/>
      </w:pPr>
      <w:r>
        <w:rPr>
          <w:b/>
        </w:rPr>
        <w:t xml:space="preserve">9. </w:t>
      </w:r>
      <w:r>
        <w:t>Aucun code de production avant validation visuelle de ces livrables.</w:t>
      </w:r>
    </w:p>
    <w:p>
      <w:pPr>
        <w:pStyle w:val="Heading1"/>
      </w:pPr>
      <w:r>
        <w:t>Recette avant implémentation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cantSplit/>
        </w:trPr>
        <w:tc>
          <w:tcPr>
            <w:tcW w:type="dxa" w:w="4997"/>
            <w:shd w:fill="0A0F2E"/>
            <w:vAlign w:val="center"/>
            <w:tcMar>
              <w:top w:w="90" w:type="dxa"/>
              <w:start w:w="110" w:type="dxa"/>
              <w:bottom w:w="90" w:type="dxa"/>
              <w:end w:w="110" w:type="dxa"/>
            </w:tcMar>
          </w:tcPr>
          <w:p>
            <w:pPr>
              <w:jc w:val="center"/>
            </w:pPr>
            <w:r>
              <w:rPr>
                <w:b/>
                <w:color w:val="FFFFFF"/>
                <w:sz w:val="18"/>
              </w:rPr>
              <w:t>Décision</w:t>
            </w:r>
          </w:p>
        </w:tc>
        <w:tc>
          <w:tcPr>
            <w:tcW w:type="dxa" w:w="4997"/>
            <w:shd w:fill="0A0F2E"/>
            <w:vAlign w:val="center"/>
            <w:tcMar>
              <w:top w:w="90" w:type="dxa"/>
              <w:start w:w="110" w:type="dxa"/>
              <w:bottom w:w="90" w:type="dxa"/>
              <w:end w:w="110" w:type="dxa"/>
            </w:tcMar>
          </w:tcPr>
          <w:p>
            <w:pPr>
              <w:jc w:val="center"/>
            </w:pPr>
            <w:r>
              <w:rPr>
                <w:b/>
                <w:color w:val="FFFFFF"/>
                <w:sz w:val="18"/>
              </w:rPr>
              <w:t>Critère de validation</w:t>
            </w:r>
          </w:p>
        </w:tc>
      </w:tr>
      <w:tr>
        <w:trPr>
          <w:cantSplit/>
        </w:trPr>
        <w:tc>
          <w:tcPr>
            <w:tcW w:type="dxa" w:w="2088"/>
            <w:vAlign w:val="center"/>
            <w:tcMar>
              <w:top w:w="90" w:type="dxa"/>
              <w:start w:w="110" w:type="dxa"/>
              <w:bottom w:w="90" w:type="dxa"/>
              <w:end w:w="110" w:type="dxa"/>
            </w:tcMar>
          </w:tcPr>
          <w:p>
            <w:pPr>
              <w:spacing w:after="0" w:line="252" w:lineRule="auto"/>
            </w:pPr>
            <w:r>
              <w:rPr>
                <w:sz w:val="17"/>
              </w:rPr>
              <w:t>Hero</w:t>
            </w:r>
          </w:p>
        </w:tc>
        <w:tc>
          <w:tcPr>
            <w:tcW w:type="dxa" w:w="7632"/>
            <w:vAlign w:val="center"/>
            <w:tcMar>
              <w:top w:w="90" w:type="dxa"/>
              <w:start w:w="110" w:type="dxa"/>
              <w:bottom w:w="90" w:type="dxa"/>
              <w:end w:w="110" w:type="dxa"/>
            </w:tcMar>
          </w:tcPr>
          <w:p>
            <w:pPr>
              <w:spacing w:after="0" w:line="252" w:lineRule="auto"/>
            </w:pPr>
            <w:r>
              <w:rPr>
                <w:sz w:val="17"/>
              </w:rPr>
              <w:t>Le terme long ne tronque pas, ne recouvre pas le globe et ne déplace pas le CTA.</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Compréhension</w:t>
            </w:r>
          </w:p>
        </w:tc>
        <w:tc>
          <w:tcPr>
            <w:tcW w:type="dxa" w:w="7632"/>
            <w:vAlign w:val="center"/>
            <w:tcMar>
              <w:top w:w="90" w:type="dxa"/>
              <w:start w:w="110" w:type="dxa"/>
              <w:bottom w:w="90" w:type="dxa"/>
              <w:end w:w="110" w:type="dxa"/>
            </w:tcMar>
            <w:shd w:fill="F4F6FA"/>
          </w:tcPr>
          <w:p>
            <w:pPr>
              <w:spacing w:after="0" w:line="252" w:lineRule="auto"/>
            </w:pPr>
            <w:r>
              <w:rPr>
                <w:sz w:val="17"/>
              </w:rPr>
              <w:t>Cabinet, domaine, cible et action sont compris immédiatement.</w:t>
            </w:r>
          </w:p>
        </w:tc>
      </w:tr>
      <w:tr>
        <w:trPr>
          <w:cantSplit/>
        </w:trPr>
        <w:tc>
          <w:tcPr>
            <w:tcW w:type="dxa" w:w="2088"/>
            <w:vAlign w:val="center"/>
            <w:tcMar>
              <w:top w:w="90" w:type="dxa"/>
              <w:start w:w="110" w:type="dxa"/>
              <w:bottom w:w="90" w:type="dxa"/>
              <w:end w:w="110" w:type="dxa"/>
            </w:tcMar>
          </w:tcPr>
          <w:p>
            <w:pPr>
              <w:spacing w:after="0" w:line="252" w:lineRule="auto"/>
            </w:pPr>
            <w:r>
              <w:rPr>
                <w:sz w:val="17"/>
              </w:rPr>
              <w:t>Compétences</w:t>
            </w:r>
          </w:p>
        </w:tc>
        <w:tc>
          <w:tcPr>
            <w:tcW w:type="dxa" w:w="7632"/>
            <w:vAlign w:val="center"/>
            <w:tcMar>
              <w:top w:w="90" w:type="dxa"/>
              <w:start w:w="110" w:type="dxa"/>
              <w:bottom w:w="90" w:type="dxa"/>
              <w:end w:w="110" w:type="dxa"/>
            </w:tcMar>
          </w:tcPr>
          <w:p>
            <w:pPr>
              <w:spacing w:after="0" w:line="252" w:lineRule="auto"/>
            </w:pPr>
            <w:r>
              <w:rPr>
                <w:sz w:val="17"/>
              </w:rPr>
              <w:t>Les dix cartes restent lisibles sans carte orpheline ni texte tassé.</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Preuves</w:t>
            </w:r>
          </w:p>
        </w:tc>
        <w:tc>
          <w:tcPr>
            <w:tcW w:type="dxa" w:w="7632"/>
            <w:vAlign w:val="center"/>
            <w:tcMar>
              <w:top w:w="90" w:type="dxa"/>
              <w:start w:w="110" w:type="dxa"/>
              <w:bottom w:w="90" w:type="dxa"/>
              <w:end w:w="110" w:type="dxa"/>
            </w:tcMar>
            <w:shd w:fill="F4F6FA"/>
          </w:tcPr>
          <w:p>
            <w:pPr>
              <w:spacing w:after="0" w:line="252" w:lineRule="auto"/>
            </w:pPr>
            <w:r>
              <w:rPr>
                <w:sz w:val="17"/>
              </w:rPr>
              <w:t>Pourquoi nous puis Cas pratiques forment une séquence continue.</w:t>
            </w:r>
          </w:p>
        </w:tc>
      </w:tr>
      <w:tr>
        <w:trPr>
          <w:cantSplit/>
        </w:trPr>
        <w:tc>
          <w:tcPr>
            <w:tcW w:type="dxa" w:w="2088"/>
            <w:vAlign w:val="center"/>
            <w:tcMar>
              <w:top w:w="90" w:type="dxa"/>
              <w:start w:w="110" w:type="dxa"/>
              <w:bottom w:w="90" w:type="dxa"/>
              <w:end w:w="110" w:type="dxa"/>
            </w:tcMar>
          </w:tcPr>
          <w:p>
            <w:pPr>
              <w:spacing w:after="0" w:line="252" w:lineRule="auto"/>
            </w:pPr>
            <w:r>
              <w:rPr>
                <w:sz w:val="17"/>
              </w:rPr>
              <w:t>Cas</w:t>
            </w:r>
          </w:p>
        </w:tc>
        <w:tc>
          <w:tcPr>
            <w:tcW w:type="dxa" w:w="7632"/>
            <w:vAlign w:val="center"/>
            <w:tcMar>
              <w:top w:w="90" w:type="dxa"/>
              <w:start w:w="110" w:type="dxa"/>
              <w:bottom w:w="90" w:type="dxa"/>
              <w:end w:w="110" w:type="dxa"/>
            </w:tcMar>
          </w:tcPr>
          <w:p>
            <w:pPr>
              <w:spacing w:after="0" w:line="252" w:lineRule="auto"/>
            </w:pPr>
            <w:r>
              <w:rPr>
                <w:sz w:val="17"/>
              </w:rPr>
              <w:t>Les trois cartes utilisent la même structure, affichent les issues arrêtées et ne comportent aucune mention d’anonymisation.</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Équipe</w:t>
            </w:r>
          </w:p>
        </w:tc>
        <w:tc>
          <w:tcPr>
            <w:tcW w:type="dxa" w:w="7632"/>
            <w:vAlign w:val="center"/>
            <w:tcMar>
              <w:top w:w="90" w:type="dxa"/>
              <w:start w:w="110" w:type="dxa"/>
              <w:bottom w:w="90" w:type="dxa"/>
              <w:end w:w="110" w:type="dxa"/>
            </w:tcMar>
            <w:shd w:fill="F4F6FA"/>
          </w:tcPr>
          <w:p>
            <w:pPr>
              <w:spacing w:after="0" w:line="252" w:lineRule="auto"/>
            </w:pPr>
            <w:r>
              <w:rPr>
                <w:sz w:val="17"/>
              </w:rPr>
              <w:t>Rôles et statuts sont lisibles ; système d’images cohérent.</w:t>
            </w:r>
          </w:p>
        </w:tc>
      </w:tr>
      <w:tr>
        <w:trPr>
          <w:cantSplit/>
        </w:trPr>
        <w:tc>
          <w:tcPr>
            <w:tcW w:type="dxa" w:w="2088"/>
            <w:vAlign w:val="center"/>
            <w:tcMar>
              <w:top w:w="90" w:type="dxa"/>
              <w:start w:w="110" w:type="dxa"/>
              <w:bottom w:w="90" w:type="dxa"/>
              <w:end w:w="110" w:type="dxa"/>
            </w:tcMar>
          </w:tcPr>
          <w:p>
            <w:pPr>
              <w:spacing w:after="0" w:line="252" w:lineRule="auto"/>
            </w:pPr>
            <w:r>
              <w:rPr>
                <w:sz w:val="17"/>
              </w:rPr>
              <w:t>Presse</w:t>
            </w:r>
          </w:p>
        </w:tc>
        <w:tc>
          <w:tcPr>
            <w:tcW w:type="dxa" w:w="7632"/>
            <w:vAlign w:val="center"/>
            <w:tcMar>
              <w:top w:w="90" w:type="dxa"/>
              <w:start w:w="110" w:type="dxa"/>
              <w:bottom w:w="90" w:type="dxa"/>
              <w:end w:w="110" w:type="dxa"/>
            </w:tcMar>
          </w:tcPr>
          <w:p>
            <w:pPr>
              <w:spacing w:after="0" w:line="252" w:lineRule="auto"/>
            </w:pPr>
            <w:r>
              <w:rPr>
                <w:sz w:val="17"/>
              </w:rPr>
              <w:t>Quatre références numériques réelles, sans numérotation lacunaire.</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Mobile</w:t>
            </w:r>
          </w:p>
        </w:tc>
        <w:tc>
          <w:tcPr>
            <w:tcW w:type="dxa" w:w="7632"/>
            <w:vAlign w:val="center"/>
            <w:tcMar>
              <w:top w:w="90" w:type="dxa"/>
              <w:start w:w="110" w:type="dxa"/>
              <w:bottom w:w="90" w:type="dxa"/>
              <w:end w:w="110" w:type="dxa"/>
            </w:tcMar>
            <w:shd w:fill="F4F6FA"/>
          </w:tcPr>
          <w:p>
            <w:pPr>
              <w:spacing w:after="0" w:line="252" w:lineRule="auto"/>
            </w:pPr>
            <w:r>
              <w:rPr>
                <w:sz w:val="17"/>
              </w:rPr>
              <w:t>Aucun débordement, recouvrement ou interaction dépendante du survol.</w:t>
            </w:r>
          </w:p>
        </w:tc>
      </w:tr>
      <w:tr>
        <w:trPr>
          <w:cantSplit/>
        </w:trPr>
        <w:tc>
          <w:tcPr>
            <w:tcW w:type="dxa" w:w="2088"/>
            <w:vAlign w:val="center"/>
            <w:tcMar>
              <w:top w:w="90" w:type="dxa"/>
              <w:start w:w="110" w:type="dxa"/>
              <w:bottom w:w="90" w:type="dxa"/>
              <w:end w:w="110" w:type="dxa"/>
            </w:tcMar>
          </w:tcPr>
          <w:p>
            <w:pPr>
              <w:spacing w:after="0" w:line="252" w:lineRule="auto"/>
            </w:pPr>
            <w:r>
              <w:rPr>
                <w:sz w:val="17"/>
              </w:rPr>
              <w:t>Accessibilité</w:t>
            </w:r>
          </w:p>
        </w:tc>
        <w:tc>
          <w:tcPr>
            <w:tcW w:type="dxa" w:w="7632"/>
            <w:vAlign w:val="center"/>
            <w:tcMar>
              <w:top w:w="90" w:type="dxa"/>
              <w:start w:w="110" w:type="dxa"/>
              <w:bottom w:w="90" w:type="dxa"/>
              <w:end w:w="110" w:type="dxa"/>
            </w:tcMar>
          </w:tcPr>
          <w:p>
            <w:pPr>
              <w:spacing w:after="0" w:line="252" w:lineRule="auto"/>
            </w:pPr>
            <w:r>
              <w:rPr>
                <w:sz w:val="17"/>
              </w:rPr>
              <w:t>Clavier, focus, contraste, zoom et réduction des mouvements contrôlés.</w:t>
            </w:r>
          </w:p>
        </w:tc>
      </w:tr>
      <w:tr>
        <w:trPr>
          <w:cantSplit/>
        </w:trPr>
        <w:tc>
          <w:tcPr>
            <w:tcW w:type="dxa" w:w="2088"/>
            <w:vAlign w:val="center"/>
            <w:tcMar>
              <w:top w:w="90" w:type="dxa"/>
              <w:start w:w="110" w:type="dxa"/>
              <w:bottom w:w="90" w:type="dxa"/>
              <w:end w:w="110" w:type="dxa"/>
            </w:tcMar>
            <w:shd w:fill="F4F6FA"/>
          </w:tcPr>
          <w:p>
            <w:pPr>
              <w:spacing w:after="0" w:line="252" w:lineRule="auto"/>
            </w:pPr>
            <w:r>
              <w:rPr>
                <w:sz w:val="17"/>
              </w:rPr>
              <w:t>SEO</w:t>
            </w:r>
          </w:p>
        </w:tc>
        <w:tc>
          <w:tcPr>
            <w:tcW w:type="dxa" w:w="7632"/>
            <w:vAlign w:val="center"/>
            <w:tcMar>
              <w:top w:w="90" w:type="dxa"/>
              <w:start w:w="110" w:type="dxa"/>
              <w:bottom w:w="90" w:type="dxa"/>
              <w:end w:w="110" w:type="dxa"/>
            </w:tcMar>
            <w:shd w:fill="F4F6FA"/>
          </w:tcPr>
          <w:p>
            <w:pPr>
              <w:spacing w:after="0" w:line="252" w:lineRule="auto"/>
            </w:pPr>
            <w:r>
              <w:rPr>
                <w:sz w:val="17"/>
              </w:rPr>
              <w:t>H1/H2, URLs, redirections, canonical, indexation et données structurées validés.</w:t>
            </w:r>
          </w:p>
        </w:tc>
      </w:tr>
    </w:tbl>
    <w:p>
      <w:pPr>
        <w:spacing w:after="20"/>
      </w:pPr>
    </w:p>
    <w:p>
      <w:pPr>
        <w:pStyle w:val="Heading1"/>
      </w:pPr>
      <w:r>
        <w:t>Ordre d’implémentation recommandé</w:t>
      </w:r>
    </w:p>
    <w:p>
      <w:pPr>
        <w:spacing w:after="40"/>
      </w:pPr>
      <w:r>
        <w:rPr>
          <w:b/>
        </w:rPr>
        <w:t xml:space="preserve">1. </w:t>
      </w:r>
      <w:r>
        <w:t>Créer une branche dédiée à la refonte de la home.</w:t>
      </w:r>
    </w:p>
    <w:p>
      <w:pPr>
        <w:spacing w:after="40"/>
      </w:pPr>
      <w:r>
        <w:rPr>
          <w:b/>
        </w:rPr>
        <w:t xml:space="preserve">2. </w:t>
      </w:r>
      <w:r>
        <w:t>Corriger d’abord structure HTML, H1/H2, URL M&amp;A et liens sociaux.</w:t>
      </w:r>
    </w:p>
    <w:p>
      <w:pPr>
        <w:spacing w:after="40"/>
      </w:pPr>
      <w:r>
        <w:rPr>
          <w:b/>
        </w:rPr>
        <w:t xml:space="preserve">3. </w:t>
      </w:r>
      <w:r>
        <w:t>Modifier le hero et sécuriser l’animation tournante.</w:t>
      </w:r>
    </w:p>
    <w:p>
      <w:pPr>
        <w:spacing w:after="40"/>
      </w:pPr>
      <w:r>
        <w:rPr>
          <w:b/>
        </w:rPr>
        <w:t xml:space="preserve">4. </w:t>
      </w:r>
      <w:r>
        <w:t>Ajouter la dixième compétence et finaliser la grille responsive.</w:t>
      </w:r>
    </w:p>
    <w:p>
      <w:pPr>
        <w:spacing w:after="40"/>
      </w:pPr>
      <w:r>
        <w:rPr>
          <w:b/>
        </w:rPr>
        <w:t xml:space="preserve">5. </w:t>
      </w:r>
      <w:r>
        <w:t>Supprimer le bloc statistique.</w:t>
      </w:r>
    </w:p>
    <w:p>
      <w:pPr>
        <w:spacing w:after="40"/>
      </w:pPr>
      <w:r>
        <w:rPr>
          <w:b/>
        </w:rPr>
        <w:t xml:space="preserve">6. </w:t>
      </w:r>
      <w:r>
        <w:t>Refondre les cas et les déplacer après Pourquoi nous.</w:t>
      </w:r>
    </w:p>
    <w:p>
      <w:pPr>
        <w:spacing w:after="40"/>
      </w:pPr>
      <w:r>
        <w:rPr>
          <w:b/>
        </w:rPr>
        <w:t xml:space="preserve">7. </w:t>
      </w:r>
      <w:r>
        <w:t>Mettre à jour équipe, presse et CTA final.</w:t>
      </w:r>
    </w:p>
    <w:p>
      <w:pPr>
        <w:spacing w:after="40"/>
      </w:pPr>
      <w:r>
        <w:rPr>
          <w:b/>
        </w:rPr>
        <w:t xml:space="preserve">8. </w:t>
      </w:r>
      <w:r>
        <w:t>Mettre à jour navigation, sitemap et données structurées.</w:t>
      </w:r>
    </w:p>
    <w:p>
      <w:pPr>
        <w:spacing w:after="40"/>
      </w:pPr>
      <w:r>
        <w:rPr>
          <w:b/>
        </w:rPr>
        <w:t xml:space="preserve">9. </w:t>
      </w:r>
      <w:r>
        <w:t>Réaliser la recette desktop, mobile, clavier, zoom, impression PDF et performance.</w:t>
      </w:r>
    </w:p>
    <w:p>
      <w:pPr>
        <w:spacing w:after="40"/>
      </w:pPr>
      <w:r>
        <w:rPr>
          <w:b/>
        </w:rPr>
        <w:t xml:space="preserve">10. </w:t>
      </w:r>
      <w:r>
        <w:t>Valider la préproduction puis retirer les directives noindex uniquement au passage en production.</w:t>
      </w:r>
    </w:p>
    <w:p>
      <w:pPr>
        <w:pStyle w:val="Heading1"/>
      </w:pPr>
      <w:r>
        <w:t>Conclusion</w:t>
      </w:r>
    </w:p>
    <w:p>
      <w:r>
        <w:t>La home actuelle est une bonne base. La refonte ne doit pas changer son identité ni multiplier les composants. Elle doit améliorer l’ordre des preuves, supprimer les interactions fragiles, intégrer le dixième domaine, corriger la structure technique et rendre le parcours plus lisible. La validation d’une maquette complète avant l’implémentation est la méthode la plus sûre.</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