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fwc0grsih1vn" w:id="0"/>
    <w:bookmarkEnd w:id="0"/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Documentação Técnica de Software: SeuChefeGourmet - Fase 1</w:t>
      </w:r>
    </w:p>
    <w:bookmarkStart w:colFirst="0" w:colLast="0" w:name="bookmark=id.yug5b8zys4s" w:id="1"/>
    <w:bookmarkEnd w:id="1"/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1. Identificação do Projeto</w:t>
      </w:r>
    </w:p>
    <w:tbl>
      <w:tblPr>
        <w:tblStyle w:val="Table1"/>
        <w:tblW w:w="7919.000000000001" w:type="dxa"/>
        <w:jc w:val="left"/>
        <w:tblInd w:w="-108.0" w:type="dxa"/>
        <w:tblLayout w:type="fixed"/>
        <w:tblLook w:val="0000"/>
      </w:tblPr>
      <w:tblGrid>
        <w:gridCol w:w="1547"/>
        <w:gridCol w:w="6372"/>
        <w:tblGridChange w:id="0">
          <w:tblGrid>
            <w:gridCol w:w="1547"/>
            <w:gridCol w:w="6372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Nome do Projeto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SeuChefe Gourmet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Nome do Grupo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InovaTech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Integrantes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Alexandre Bicudo, Daniel Akiama, Pedro Renny, Gabriel Matos, Daniel Romagnoli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Curso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 Sistemas de informação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Disciplina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Porjeto Integrador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Professor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Joelmo?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bookmark=id.kwo1owbl5ka2" w:id="2"/>
    <w:bookmarkEnd w:id="2"/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  <w:t xml:space="preserve">2. Tema do Projeto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72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SeuChefeGourmet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propõe-se como uma plataforma mobile inovadora, atuando na intermediação de serviços gastronômicos particulares. O foco primordial reside na conexão entre profissionais da alta gastronomia – especificamente auxiliares e subchefes de cozinhas renomadas – e um público-alvo de médio e alto padrão que busca experiências culinárias exclusivas e personalizadas em domicílio. Este sistema insere-se no crescente segmento da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Gig Economy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adaptando-o ao nicho de luxo e alta qualidade</w:t>
      </w:r>
      <w:r w:rsidDel="00000000" w:rsidR="00000000" w:rsidRPr="00000000">
        <w:rPr>
          <w:rtl w:val="0"/>
        </w:rPr>
        <w:t xml:space="preserve"> mas com preço relativamente acessível.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Área de Aplicação: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Serviços, Gastronomia, Economia Colaborativa (Gig Economy).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Público-Alvo: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72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Prestadores de Serviço: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Profissionais com experiência comprovada em restaurantes de alta gastronomia, incluindo auxiliares de cozinha, </w:t>
      </w:r>
      <w:r w:rsidDel="00000000" w:rsidR="00000000" w:rsidRPr="00000000">
        <w:rPr>
          <w:rtl w:val="0"/>
        </w:rPr>
        <w:t xml:space="preserve">sub chefes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ajudantes. Estes indivíduos, embora altamente qualificados, frequentemente carecem de visibilidade e oportunidades para desenvolver uma marca pessoal ou complementar sua renda de forma autônoma.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72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Clientes: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Indivíduos e famílias de médio e alto padrão socioeconômico, com interesse em experiências gastronômicas diferenciadas para eventos privados, jantares especiais ou serviços de chef em casa, valorizando a exclusividade e a qualidade superior dos serviços.</w:t>
      </w:r>
    </w:p>
    <w:bookmarkStart w:colFirst="0" w:colLast="0" w:name="bookmark=id.56q8kjga4m83" w:id="3"/>
    <w:bookmarkEnd w:id="3"/>
    <w:p w:rsidR="00000000" w:rsidDel="00000000" w:rsidP="00000000" w:rsidRDefault="00000000" w:rsidRPr="00000000" w14:paraId="0000001B">
      <w:pPr>
        <w:pStyle w:val="Heading2"/>
        <w:rPr/>
      </w:pPr>
      <w:r w:rsidDel="00000000" w:rsidR="00000000" w:rsidRPr="00000000">
        <w:rPr>
          <w:rtl w:val="0"/>
        </w:rPr>
        <w:t xml:space="preserve">3. Contextualização do Problema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72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cenário atual da alta gastronomia revela uma dicotomia significativa. Por um lado, existe um corpo de profissionais altamente capacitados – os auxiliares e subchefes – que são a espinha dorsal das cozinhas de elite, possuindo técnica refinada, criatividade e vasta experiência. Contudo, a visibilidade e o reconhecimento público desses talentos são frequentemente ofuscados pela figura do </w:t>
      </w:r>
      <w:r w:rsidDel="00000000" w:rsidR="00000000" w:rsidRPr="00000000">
        <w:rPr>
          <w:rtl w:val="0"/>
        </w:rPr>
        <w:t xml:space="preserve">chefe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principal. Esta situação limita suas oportunidades de ascensão profissional independente e de geração de renda complementar, além de dificultar a construção de um portfólio autoral.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72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Paralelamente, observa-se uma demanda crescente por experiências gastronômicas exclusivas e personalizadas. O público de médio e alto padrão, embora disposto a investir em culinária de excelência, encontra barreiras significativas na contratação de chefs renomados para eventos particulares, seja pela inacessibilidade financeira ou pela limitação de agenda desses profissionais. A ausência de um canal seguro e eficiente para conectar esses consumidores a talentos emergentes da alta gastronomia representa uma lacuna de mercado.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72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Principais Dificuldades e Limitações Identificadas: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72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Subutilização de Talentos: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Profissionais qualificados permanecem à margem do mercado de serviços particulares devido à falta de uma plataforma especializada.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72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Barreira de Acesso: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 alto custo e a exclusividade dos chefs renomados restringem o acesso à alta gastronomia em domicílio para a maioria do público-alvo.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72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Fragmentação do Mercado: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inexistência de um marketplace curado e confiável dificulta a conexão direta entre profissionais e clientes, resultando em oportunidades perdidas para ambos os lados.</w:t>
      </w:r>
    </w:p>
    <w:bookmarkStart w:colFirst="0" w:colLast="0" w:name="bookmark=id.h901fitverx6" w:id="4"/>
    <w:bookmarkEnd w:id="4"/>
    <w:p w:rsidR="00000000" w:rsidDel="00000000" w:rsidP="00000000" w:rsidRDefault="00000000" w:rsidRPr="00000000" w14:paraId="00000022">
      <w:pPr>
        <w:pStyle w:val="Heading2"/>
        <w:rPr/>
      </w:pPr>
      <w:r w:rsidDel="00000000" w:rsidR="00000000" w:rsidRPr="00000000">
        <w:rPr>
          <w:rtl w:val="0"/>
        </w:rPr>
        <w:t xml:space="preserve">4. Justificativa da Proposta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72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criação do aplicativo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SeuChefeGourmet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justifica-se pela sua capacidade de endereçar as lacunas identificadas no mercado de alta gastronomia e serviços culinários particulares. A plataforma visa democratizar o acesso à culinária de excelência, tornando-a mais acessível e personalizada para o consumidor final, ao mesmo tempo em que oferece uma via de valorização e empoderamento profissional para os talentos dos bastidores.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72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os profissionais, o sistema representa uma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vitrine digital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um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trampolim de carreira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permitindo: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72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Geração de Renda Complementar: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Oportunidade de monetizar suas habilidades fora do horário de trabalho regular.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72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Desenvolvimento de Marca Pessoal: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Construção de um portfólio e reputação independentes, essenciais para futuras transições de carreira.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72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Exercício da Criatividade Autoral: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Liberdade para desenvolver e apresentar cardápios personalizados, explorando sua própria identidade culinária.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72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os clientes, o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SeuChefeGourmet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oferece a conveniência e a exclusividade de ter um profissional qualificado da alta gastronomia em seu evento ou residência, com um custo-benefício superior à contratação de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chefs de renome consolidado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A proposta é viável e relevante, pois atende a uma demanda latente por qualidade e personalização, ao mesmo tempo em que fomenta um ecossistema de trabalho flexível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setor gastronômico.</w:t>
      </w:r>
    </w:p>
    <w:bookmarkStart w:colFirst="0" w:colLast="0" w:name="bookmark=id.naqaub52yz3i" w:id="5"/>
    <w:bookmarkEnd w:id="5"/>
    <w:p w:rsidR="00000000" w:rsidDel="00000000" w:rsidP="00000000" w:rsidRDefault="00000000" w:rsidRPr="00000000" w14:paraId="00000029">
      <w:pPr>
        <w:pStyle w:val="Heading2"/>
        <w:rPr/>
      </w:pPr>
      <w:r w:rsidDel="00000000" w:rsidR="00000000" w:rsidRPr="00000000">
        <w:rPr>
          <w:rtl w:val="0"/>
        </w:rPr>
        <w:t xml:space="preserve">5. Problema do Projeto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problema central a ser abordado pelo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SeuChefeGourmet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pode ser formalizado como: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estabelecer uma conexão segura e eficiente entre auxiliares e subchefes de cozinha de alta gastronomia e clientes de médio e alto padrão que buscam serviços culinários particulares, de modo a proporcionar geração de renda extra e reconhecimento profissional aos cozinheiros, e acesso facilitado a experiências gastronômicas de excelência para os contratantes?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 formulação busca um equilíbrio entre a necessidade de valorização profissional e a demanda por serviços de alta qualidade, delineando um problema claro </w:t>
      </w:r>
      <w:r w:rsidDel="00000000" w:rsidR="00000000" w:rsidRPr="00000000">
        <w:rPr>
          <w:rtl w:val="0"/>
        </w:rPr>
        <w:t xml:space="preserve">é verificável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que a solução proposta pretende resolver.</w:t>
      </w:r>
    </w:p>
    <w:bookmarkStart w:colFirst="0" w:colLast="0" w:name="bookmark=id.69aai4568uye" w:id="6"/>
    <w:bookmarkEnd w:id="6"/>
    <w:p w:rsidR="00000000" w:rsidDel="00000000" w:rsidP="00000000" w:rsidRDefault="00000000" w:rsidRPr="00000000" w14:paraId="0000002D">
      <w:pPr>
        <w:pStyle w:val="Heading2"/>
        <w:rPr/>
      </w:pPr>
      <w:r w:rsidDel="00000000" w:rsidR="00000000" w:rsidRPr="00000000">
        <w:rPr>
          <w:rtl w:val="0"/>
        </w:rPr>
        <w:t xml:space="preserve">6. Objetivo Geral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objetivo geral do sistema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SeuChefeGourmet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é: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Desenvolver e implementar um aplicativo móvel robusto e intuitivo que atue como plataforma de intermediação para a contratação de auxiliares e subchefes de restaurantes de alta gastronomia, visando a prestação de serviços culinários particulares (diárias e eventos), com o propósito de promover a valorização profissional desses talentos e facilitar o acesso de clientes a experiências gastronômicas personalizadas e de alta qualidade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bookmarkStart w:colFirst="0" w:colLast="0" w:name="bookmark=id.nuirpwm4pm27" w:id="7"/>
    <w:bookmarkEnd w:id="7"/>
    <w:p w:rsidR="00000000" w:rsidDel="00000000" w:rsidP="00000000" w:rsidRDefault="00000000" w:rsidRPr="00000000" w14:paraId="00000030">
      <w:pPr>
        <w:pStyle w:val="Heading2"/>
        <w:rPr/>
      </w:pPr>
      <w:r w:rsidDel="00000000" w:rsidR="00000000" w:rsidRPr="00000000">
        <w:rPr>
          <w:rtl w:val="0"/>
        </w:rPr>
        <w:t xml:space="preserve">7. Objetivos Específicos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a consecução do objetivo geral, foram definidos os seguintes objetivos específicos: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Cadastro e Validação de Perfil: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Implementar um módulo de registro e validação rigorosa de perfis para cozinheiros (auxiliares/subchefes), incluindo a verificação de experiência em estabelecimentos renomados, portfólio culinário e especialidades, garantindo a credibilidade e a qualidade dos profissionais ofertados.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Sistema de Busca e Filtragem Avançada: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Desenvolver funcionalidades de busca e filtragem que permitam aos clientes localizar profissionais com base em critérios como disponibilidade, tipo de culinária, avaliações de outros usuários e faixa de preço, otimizando a experiência de seleção.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Módulo de Agendamento e Comunicação Integrada: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Criar um sistema de agendamento dinâmico e um chat interno seguro, facilitando a comunicação direta entre clientes e cozinheiros para o alinhamento de cardápios, restrições alimentares, detalhes do evento e outras especificações do serviço.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Sistema de Avaliação e Reputação: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Desenvolver um mecanismo de avaliação bidirecional (clientes avaliam cozinheiros e vice-versa) e um sistema de reputação (reviews e pontuações) que permita aos cozinheiros construir um histórico profissional sólido e confiável dentro da plataforma.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Gateway de Pagamento Seguro: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Integrar um gateway de pagamento robusto e seguro, garantindo a transparência e a eficiência nas transações financeiras referentes às diárias e eventos contratados, com repasse automatizado aos profissionais.</w:t>
      </w:r>
    </w:p>
    <w:bookmarkStart w:colFirst="0" w:colLast="0" w:name="bookmark=id.2nuw4lf8ytef" w:id="8"/>
    <w:bookmarkEnd w:id="8"/>
    <w:p w:rsidR="00000000" w:rsidDel="00000000" w:rsidP="00000000" w:rsidRDefault="00000000" w:rsidRPr="00000000" w14:paraId="00000037">
      <w:pPr>
        <w:pStyle w:val="Heading2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8. Delimitação do Escopo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Irá Contemplar: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Gestão de Perfis de Usuários: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Módulos para criação, edição e validação de perfis de clientes e cozinheiros, com foco na verificação de credenciais e experiência para os profissionais.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Catálogo de Serviços e Agendamento: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Interface para visualização de perfis de cozinheiros, especialidades, portfólios, calendário de disponibilidade e funcionalidades de agendamento de serviços.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Comunicação Interna: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Chat integrado para facilitar a negociação e o alinhamento de detalhes entre clientes e cozinheiros, garantindo um canal de comunicação direto e registrado.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Sistema de Avaliações e Pagamento: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Implementação de um sistema de feedback (notas e comentários) e integração com plataformas de pagamento digital (cartão de crédito, Pix) para transações seguras.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NÃO Irá Contemplar: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Logística de Insumos: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plataforma não será responsável pela intermediação da compra, armazenamento ou entrega de ingredientes e insumos. Esta responsabilidade será definida e acordada diretamente entre o cliente e o cozinheiro via chat.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Modelo de Delivery Tradicional: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plataforma não operará como um serviço de entrega de pratos prontos no modelo tradicional de delivery (e.g., iFood, Rappi). O serviço é focado na presença do cozinheiro no local do cliente.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Gestão de Contratos de Trabalho Formais (CLT):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SeuChefeGourmet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 configura como um intermediador de prestação de serviços autônomos. Não haverá gestão de contratos de trabalho formais ou vínculo empregatício entre clientes e cozinheiros através da plataforma.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480"/>
      </w:pPr>
      <w:rPr/>
    </w:lvl>
    <w:lvl w:ilvl="1">
      <w:start w:val="1"/>
      <w:numFmt w:val="decimal"/>
      <w:lvlText w:val="%2."/>
      <w:lvlJc w:val="left"/>
      <w:pPr>
        <w:ind w:left="1200" w:hanging="480"/>
      </w:pPr>
      <w:rPr/>
    </w:lvl>
    <w:lvl w:ilvl="2">
      <w:start w:val="1"/>
      <w:numFmt w:val="decimal"/>
      <w:lvlText w:val="%3."/>
      <w:lvlJc w:val="left"/>
      <w:pPr>
        <w:ind w:left="1920" w:hanging="480"/>
      </w:pPr>
      <w:rPr/>
    </w:lvl>
    <w:lvl w:ilvl="3">
      <w:start w:val="1"/>
      <w:numFmt w:val="decimal"/>
      <w:lvlText w:val="%4."/>
      <w:lvlJc w:val="left"/>
      <w:pPr>
        <w:ind w:left="2640" w:hanging="480"/>
      </w:pPr>
      <w:rPr/>
    </w:lvl>
    <w:lvl w:ilvl="4">
      <w:start w:val="1"/>
      <w:numFmt w:val="decimal"/>
      <w:lvlText w:val="%5."/>
      <w:lvlJc w:val="left"/>
      <w:pPr>
        <w:ind w:left="3360" w:hanging="480"/>
      </w:pPr>
      <w:rPr/>
    </w:lvl>
    <w:lvl w:ilvl="5">
      <w:start w:val="1"/>
      <w:numFmt w:val="decimal"/>
      <w:lvlText w:val="%6."/>
      <w:lvlJc w:val="left"/>
      <w:pPr>
        <w:ind w:left="4080" w:hanging="480"/>
      </w:pPr>
      <w:rPr/>
    </w:lvl>
    <w:lvl w:ilvl="6">
      <w:start w:val="1"/>
      <w:numFmt w:val="decimal"/>
      <w:lvlText w:val="%7."/>
      <w:lvlJc w:val="left"/>
      <w:pPr>
        <w:ind w:left="4800" w:hanging="480"/>
      </w:pPr>
      <w:rPr/>
    </w:lvl>
    <w:lvl w:ilvl="7">
      <w:start w:val="1"/>
      <w:numFmt w:val="decimal"/>
      <w:lvlText w:val="%8."/>
      <w:lvlJc w:val="left"/>
      <w:pPr>
        <w:ind w:left="5520" w:hanging="480"/>
      </w:pPr>
      <w:rPr/>
    </w:lvl>
    <w:lvl w:ilvl="8">
      <w:start w:val="1"/>
      <w:numFmt w:val="decimal"/>
      <w:lvlText w:val="%9."/>
      <w:lvlJc w:val="left"/>
      <w:pPr>
        <w:ind w:left="6240" w:hanging="480"/>
      </w:pPr>
      <w:rPr/>
    </w:lvl>
  </w:abstractNum>
  <w:abstractNum w:abstractNumId="2">
    <w:lvl w:ilvl="0">
      <w:start w:val="0"/>
      <w:numFmt w:val="bullet"/>
      <w:lvlText w:val="•"/>
      <w:lvlJc w:val="left"/>
      <w:pPr>
        <w:ind w:left="480" w:hanging="480"/>
      </w:pPr>
      <w:rPr/>
    </w:lvl>
    <w:lvl w:ilvl="1">
      <w:start w:val="0"/>
      <w:numFmt w:val="bullet"/>
      <w:lvlText w:val="–"/>
      <w:lvlJc w:val="left"/>
      <w:pPr>
        <w:ind w:left="1200" w:hanging="480"/>
      </w:pPr>
      <w:rPr/>
    </w:lvl>
    <w:lvl w:ilvl="2">
      <w:start w:val="0"/>
      <w:numFmt w:val="bullet"/>
      <w:lvlText w:val="•"/>
      <w:lvlJc w:val="left"/>
      <w:pPr>
        <w:ind w:left="1920" w:hanging="480"/>
      </w:pPr>
      <w:rPr/>
    </w:lvl>
    <w:lvl w:ilvl="3">
      <w:start w:val="0"/>
      <w:numFmt w:val="bullet"/>
      <w:lvlText w:val="–"/>
      <w:lvlJc w:val="left"/>
      <w:pPr>
        <w:ind w:left="2640" w:hanging="480"/>
      </w:pPr>
      <w:rPr/>
    </w:lvl>
    <w:lvl w:ilvl="4">
      <w:start w:val="0"/>
      <w:numFmt w:val="bullet"/>
      <w:lvlText w:val="•"/>
      <w:lvlJc w:val="left"/>
      <w:pPr>
        <w:ind w:left="3360" w:hanging="480"/>
      </w:pPr>
      <w:rPr/>
    </w:lvl>
    <w:lvl w:ilvl="5">
      <w:start w:val="0"/>
      <w:numFmt w:val="bullet"/>
      <w:lvlText w:val="–"/>
      <w:lvlJc w:val="left"/>
      <w:pPr>
        <w:ind w:left="4080" w:hanging="480"/>
      </w:pPr>
      <w:rPr/>
    </w:lvl>
    <w:lvl w:ilvl="6">
      <w:start w:val="0"/>
      <w:numFmt w:val="bullet"/>
      <w:lvlText w:val="•"/>
      <w:lvlJc w:val="left"/>
      <w:pPr>
        <w:ind w:left="4800" w:hanging="480"/>
      </w:pPr>
      <w:rPr/>
    </w:lvl>
    <w:lvl w:ilvl="7">
      <w:start w:val="0"/>
      <w:numFmt w:val="bullet"/>
      <w:lvlText w:val="–"/>
      <w:lvlJc w:val="left"/>
      <w:pPr>
        <w:ind w:left="5520" w:hanging="480"/>
      </w:pPr>
      <w:rPr/>
    </w:lvl>
    <w:lvl w:ilvl="8">
      <w:start w:val="0"/>
      <w:numFmt w:val="bullet"/>
      <w:lvlText w:val="•"/>
      <w:lvlJc w:val="left"/>
      <w:pPr>
        <w:ind w:left="6240" w:hanging="480"/>
      </w:pPr>
      <w:rPr/>
    </w:lvl>
  </w:abstractNum>
  <w:abstractNum w:abstractNumId="3">
    <w:lvl w:ilvl="0">
      <w:start w:val="0"/>
      <w:numFmt w:val="bullet"/>
      <w:lvlText w:val="•"/>
      <w:lvlJc w:val="left"/>
      <w:pPr>
        <w:ind w:left="480" w:hanging="480"/>
      </w:pPr>
      <w:rPr/>
    </w:lvl>
    <w:lvl w:ilvl="1">
      <w:start w:val="0"/>
      <w:numFmt w:val="bullet"/>
      <w:lvlText w:val="–"/>
      <w:lvlJc w:val="left"/>
      <w:pPr>
        <w:ind w:left="1200" w:hanging="480"/>
      </w:pPr>
      <w:rPr/>
    </w:lvl>
    <w:lvl w:ilvl="2">
      <w:start w:val="0"/>
      <w:numFmt w:val="bullet"/>
      <w:lvlText w:val="•"/>
      <w:lvlJc w:val="left"/>
      <w:pPr>
        <w:ind w:left="1920" w:hanging="480"/>
      </w:pPr>
      <w:rPr/>
    </w:lvl>
    <w:lvl w:ilvl="3">
      <w:start w:val="0"/>
      <w:numFmt w:val="bullet"/>
      <w:lvlText w:val="–"/>
      <w:lvlJc w:val="left"/>
      <w:pPr>
        <w:ind w:left="2640" w:hanging="480"/>
      </w:pPr>
      <w:rPr/>
    </w:lvl>
    <w:lvl w:ilvl="4">
      <w:start w:val="0"/>
      <w:numFmt w:val="bullet"/>
      <w:lvlText w:val="•"/>
      <w:lvlJc w:val="left"/>
      <w:pPr>
        <w:ind w:left="3360" w:hanging="480"/>
      </w:pPr>
      <w:rPr/>
    </w:lvl>
    <w:lvl w:ilvl="5">
      <w:start w:val="0"/>
      <w:numFmt w:val="bullet"/>
      <w:lvlText w:val="–"/>
      <w:lvlJc w:val="left"/>
      <w:pPr>
        <w:ind w:left="4080" w:hanging="480"/>
      </w:pPr>
      <w:rPr/>
    </w:lvl>
    <w:lvl w:ilvl="6">
      <w:start w:val="0"/>
      <w:numFmt w:val="bullet"/>
      <w:lvlText w:val="•"/>
      <w:lvlJc w:val="left"/>
      <w:pPr>
        <w:ind w:left="4800" w:hanging="480"/>
      </w:pPr>
      <w:rPr/>
    </w:lvl>
    <w:lvl w:ilvl="7">
      <w:start w:val="0"/>
      <w:numFmt w:val="bullet"/>
      <w:lvlText w:val="–"/>
      <w:lvlJc w:val="left"/>
      <w:pPr>
        <w:ind w:left="5520" w:hanging="480"/>
      </w:pPr>
      <w:rPr/>
    </w:lvl>
    <w:lvl w:ilvl="8">
      <w:start w:val="0"/>
      <w:numFmt w:val="bullet"/>
      <w:lvlText w:val="•"/>
      <w:lvlJc w:val="left"/>
      <w:pPr>
        <w:ind w:left="6240" w:hanging="4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4f81b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480" w:lineRule="auto"/>
      <w:jc w:val="center"/>
    </w:pPr>
    <w:rPr>
      <w:rFonts w:ascii="Calibri" w:cs="Calibri" w:eastAsia="Calibri" w:hAnsi="Calibri"/>
      <w:b w:val="1"/>
      <w:bCs w:val="1"/>
      <w:color w:val="335b8a"/>
      <w:sz w:val="36"/>
      <w:szCs w:val="36"/>
    </w:rPr>
  </w:style>
  <w:style w:type="paragraph" w:styleId="BodyText">
    <w:name w:val="Body Text"/>
    <w:basedOn w:val="Normal"/>
    <w:link w:val="BodyTextChar"/>
    <w:qFormat w:val="1"/>
    <w:pPr>
      <w:spacing w:after="180" w:before="180"/>
    </w:pPr>
  </w:style>
  <w:style w:type="paragraph" w:styleId="FirstParagraph" w:customStyle="1">
    <w:name w:val="First Paragraph"/>
    <w:basedOn w:val="BodyText"/>
    <w:next w:val="BodyText"/>
    <w:qFormat w:val="1"/>
  </w:style>
  <w:style w:type="paragraph" w:styleId="Compact" w:customStyle="1">
    <w:name w:val="Compact"/>
    <w:basedOn w:val="BodyText"/>
    <w:qFormat w:val="1"/>
    <w:pPr>
      <w:spacing w:after="36" w:before="36"/>
    </w:pPr>
  </w:style>
  <w:style w:type="paragraph" w:styleId="Author" w:customStyle="1">
    <w:name w:val="Author"/>
    <w:next w:val="BodyText"/>
    <w:qFormat w:val="1"/>
    <w:pPr>
      <w:keepNext w:val="1"/>
      <w:keepLines w:val="1"/>
      <w:jc w:val="center"/>
    </w:pPr>
  </w:style>
  <w:style w:type="paragraph" w:styleId="Date">
    <w:name w:val="Date"/>
    <w:next w:val="BodyText"/>
    <w:qFormat w:val="1"/>
    <w:pPr>
      <w:keepNext w:val="1"/>
      <w:keepLines w:val="1"/>
      <w:jc w:val="center"/>
    </w:pPr>
  </w:style>
  <w:style w:type="paragraph" w:styleId="Abstract" w:customStyle="1">
    <w:name w:val="Abstract"/>
    <w:basedOn w:val="Normal"/>
    <w:next w:val="BodyText"/>
    <w:qFormat w:val="1"/>
    <w:pPr>
      <w:keepNext w:val="1"/>
      <w:keepLines w:val="1"/>
      <w:spacing w:after="300" w:before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 w:val="1"/>
    <w:pPr/>
    <w:rPr/>
  </w:style>
  <w:style w:type="paragraph" w:styleId="Heading7">
    <w:name w:val="Heading 7"/>
    <w:basedOn w:val="Normal"/>
    <w:next w:val="BodyText"/>
    <w:uiPriority w:val="9"/>
    <w:unhideWhenUsed w:val="1"/>
    <w:qFormat w:val="1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 w:val="1"/>
    <w:qFormat w:val="1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 w:val="1"/>
    <w:qFormat w:val="1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 w:val="1"/>
    <w:qFormat w:val="1"/>
    <w:pPr>
      <w:spacing w:after="100" w:before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 w:val="1"/>
    <w:qFormat w:val="1"/>
  </w:style>
  <w:style w:type="character" w:styleId="DefaultParagraphFont" w:default="1">
    <w:name w:val="Default Paragraph Font"/>
    <w:semiHidden w:val="1"/>
    <w:unhideWhenUsed w:val="1"/>
  </w:style>
  <w:style w:type="table" w:styleId="Table" w:default="1">
    <w:name w:val="Table"/>
    <w:basedOn w:val="TableNormal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DefinitionTerm" w:customStyle="1">
    <w:name w:val="Definition Term"/>
    <w:basedOn w:val="Normal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after="120" w:before="0"/>
    </w:pPr>
    <w:rPr>
      <w:i w:val="1"/>
    </w:rPr>
  </w:style>
  <w:style w:type="paragraph" w:styleId="TableCaption" w:customStyle="1">
    <w:name w:val="Table Caption"/>
    <w:basedOn w:val="Caption"/>
    <w:pPr>
      <w:keepNext w:val="1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1"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 w:val="1"/>
    <w:qFormat w:val="1"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</w:r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b w:val="1"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/>
  </w:style>
  <w:style w:type="character" w:styleId="CommentTok" w:customStyle="1">
    <w:name w:val="CommentTok"/>
    <w:basedOn w:val="VerbatimChar"/>
    <w:rPr>
      <w:i w:val="1"/>
      <w:color w:val="60a0b0"/>
    </w:rPr>
  </w:style>
  <w:style w:type="character" w:styleId="DocumentationTok" w:customStyle="1">
    <w:name w:val="DocumentationTok"/>
    <w:basedOn w:val="VerbatimChar"/>
    <w:rPr>
      <w:i w:val="1"/>
      <w:color w:val="ba2121"/>
    </w:rPr>
  </w:style>
  <w:style w:type="character" w:styleId="AnnotationTok" w:customStyle="1">
    <w:name w:val="AnnotationTok"/>
    <w:basedOn w:val="VerbatimChar"/>
    <w:rPr>
      <w:b w:val="1"/>
      <w:i w:val="1"/>
      <w:color w:val="60a0b0"/>
    </w:rPr>
  </w:style>
  <w:style w:type="character" w:styleId="CommentVarTok" w:customStyle="1">
    <w:name w:val="CommentVarTok"/>
    <w:basedOn w:val="VerbatimChar"/>
    <w:rPr>
      <w:b w:val="1"/>
      <w:i w:val="1"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 w:val="1"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/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 w:val="1"/>
      <w:i w:val="1"/>
      <w:color w:val="60a0b0"/>
    </w:rPr>
  </w:style>
  <w:style w:type="character" w:styleId="WarningTok" w:customStyle="1">
    <w:name w:val="WarningTok"/>
    <w:basedOn w:val="VerbatimChar"/>
    <w:rPr>
      <w:b w:val="1"/>
      <w:i w:val="1"/>
      <w:color w:val="60a0b0"/>
    </w:rPr>
  </w:style>
  <w:style w:type="character" w:styleId="AlertTok" w:customStyle="1">
    <w:name w:val="AlertTok"/>
    <w:basedOn w:val="VerbatimChar"/>
    <w:rPr>
      <w:b w:val="1"/>
      <w:color w:val="ff0000"/>
    </w:rPr>
  </w:style>
  <w:style w:type="character" w:styleId="ErrorTok" w:customStyle="1">
    <w:name w:val="ErrorTok"/>
    <w:basedOn w:val="VerbatimChar"/>
    <w:rPr>
      <w:b w:val="1"/>
      <w:color w:val="ff0000"/>
    </w:rPr>
  </w:style>
  <w:style w:type="character" w:styleId="NormalTok" w:customStyle="1">
    <w:name w:val="NormalTok"/>
    <w:basedOn w:val="VerbatimChar"/>
    <w:rPr/>
  </w:style>
  <w:style w:type="paragraph" w:styleId="Subtitle">
    <w:name w:val="Subtitle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Calibri" w:cs="Calibri" w:eastAsia="Calibri" w:hAnsi="Calibri"/>
      <w:b w:val="1"/>
      <w:bCs w:val="1"/>
      <w:color w:val="335b8a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2A4+5BNQOc9CN6CpilGSSoq8H2A==">CgMxLjAyD2lkLmZ3YzBncnNpaDF2bjIOaWQueXVnNWI4enlzNHMyD2lkLmt3bzFvd2JsNWthMjIPaWQuNTZxOGtqZ2E0bTgzMg9pZC5oOTAxZml0dmVyeDYyD2lkLm5hcWF1YjUyeXozaTIPaWQuNjlhYWk0NTY4dXllMg9pZC5udWlycHdtNHBtMjcyD2lkLjJudXc0bGY4eXRlZjgAciExeUlMZWZscmptb2pUbmc1YVdtWktnYTdHRmtDdHh6Sko=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2026-03-21T00:58:59Z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