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CE1C" w14:textId="7D77237E" w:rsidR="00275DB2" w:rsidRDefault="000E4A45" w:rsidP="000E4A45">
      <w:pPr>
        <w:jc w:val="center"/>
        <w:rPr>
          <w:b/>
          <w:bCs/>
        </w:rPr>
      </w:pPr>
      <w:r>
        <w:rPr>
          <w:b/>
          <w:bCs/>
        </w:rPr>
        <w:t>Report</w:t>
      </w:r>
    </w:p>
    <w:p w14:paraId="7F7DF000" w14:textId="3357B46A" w:rsidR="00954A4A" w:rsidRDefault="00954A4A" w:rsidP="00954A4A">
      <w:pPr>
        <w:pStyle w:val="Heading1"/>
      </w:pPr>
      <w:r>
        <w:t>1.</w:t>
      </w:r>
    </w:p>
    <w:p w14:paraId="44B12A9A" w14:textId="6B1FAE53" w:rsidR="000E4A45" w:rsidRDefault="000E4A45" w:rsidP="000E4A45">
      <w:pPr>
        <w:jc w:val="both"/>
      </w:pPr>
      <w:r>
        <w:t>O construtor do iterador está mal, a raiz é pushed para a stack sem verificar se a tree é emtpy</w:t>
      </w:r>
    </w:p>
    <w:p w14:paraId="15629E3F" w14:textId="7843FF8C" w:rsidR="00DF00D9" w:rsidRDefault="00DF00D9" w:rsidP="000E4A45">
      <w:pPr>
        <w:jc w:val="both"/>
      </w:pPr>
      <w:r>
        <w:t>É impossível cobrir todos os branches do método equalTrees. O branch “one == other” já é coberto no método equals e que caso aconteça, o método equalTrees não é chamado. O branch e “one == null || other == null” também pois, o one aqui seria o this, que não poderia ser null se não ao tentar chamar o método equals seria lançada uma NullPointerException, e o other também nunca poderia ser null pois a condição “other instanceof NTree” não se verificaria e o método equalTrees não seria chamado.</w:t>
      </w:r>
    </w:p>
    <w:p w14:paraId="105BB43D" w14:textId="07235D6B" w:rsidR="00954A4A" w:rsidRPr="00937889" w:rsidRDefault="00937889" w:rsidP="000E4A45">
      <w:pPr>
        <w:jc w:val="both"/>
      </w:pPr>
      <w:r>
        <w:t xml:space="preserve">É também impossível cobrir todos os branches do método proposePosition. </w:t>
      </w:r>
      <w:r w:rsidRPr="00937889">
        <w:t>No if “if (children[i].data.compareTo(elem)&lt;0)” é impossível cobrir</w:t>
      </w:r>
      <w:r>
        <w:t xml:space="preserve"> o branch em que esta condição não se verifica, isto porque todas as outras condições (ser igual ou maior do que 0) já foram verificadas em partes anteriores do código. Portanto para obter cobertura total, o código teria de ser escrito com if, else if e else, visto que no fim não há outra alternativa a “</w:t>
      </w:r>
      <w:r w:rsidRPr="00937889">
        <w:t>children[i].data.compareTo(elem)&lt;0</w:t>
      </w:r>
      <w:r>
        <w:t>”.</w:t>
      </w:r>
    </w:p>
    <w:p w14:paraId="06503FFF" w14:textId="76024801" w:rsidR="00954A4A" w:rsidRDefault="00954A4A" w:rsidP="00954A4A">
      <w:pPr>
        <w:pStyle w:val="Heading1"/>
      </w:pPr>
      <w:r w:rsidRPr="00937889">
        <w:t>2.</w:t>
      </w:r>
    </w:p>
    <w:p w14:paraId="090C3336" w14:textId="46805C3D" w:rsidR="0010623F" w:rsidRPr="0010623F" w:rsidRDefault="0010623F" w:rsidP="0010623F">
      <w:pPr>
        <w:pStyle w:val="Heading2"/>
        <w:rPr>
          <w:lang w:val="en-US"/>
        </w:rPr>
      </w:pPr>
      <w:r w:rsidRPr="0010623F">
        <w:rPr>
          <w:lang w:val="en-US"/>
        </w:rPr>
        <w:t>Edge-Pair C</w:t>
      </w:r>
      <w:r>
        <w:rPr>
          <w:lang w:val="en-US"/>
        </w:rPr>
        <w:t>overage</w:t>
      </w:r>
    </w:p>
    <w:p w14:paraId="36CB5EEB" w14:textId="1BC34F86" w:rsidR="00F24045" w:rsidRPr="0010623F" w:rsidRDefault="00F24045" w:rsidP="00F24045">
      <w:pPr>
        <w:rPr>
          <w:lang w:val="en-US"/>
        </w:rPr>
      </w:pPr>
      <w:r w:rsidRPr="0010623F">
        <w:rPr>
          <w:lang w:val="en-US"/>
        </w:rPr>
        <w:t>TR(EC) = {[0,1], [0,2], [2,3], [2,4]}</w:t>
      </w:r>
    </w:p>
    <w:p w14:paraId="4D59B705" w14:textId="27CDBEFF" w:rsidR="00F24045" w:rsidRDefault="00F24045" w:rsidP="00F24045">
      <w:r>
        <w:t xml:space="preserve">TR(EPC) = TR(EC) </w:t>
      </w:r>
      <w:r>
        <w:rPr>
          <w:rFonts w:ascii="Cambria Math" w:hAnsi="Cambria Math" w:cs="Cambria Math"/>
        </w:rPr>
        <w:t xml:space="preserve">∪ </w:t>
      </w:r>
      <w:r>
        <w:t>{[0,2,3], [0,2,4]}</w:t>
      </w:r>
    </w:p>
    <w:tbl>
      <w:tblPr>
        <w:tblStyle w:val="TableGrid"/>
        <w:tblW w:w="0" w:type="auto"/>
        <w:tblInd w:w="-289" w:type="dxa"/>
        <w:tblLook w:val="04A0" w:firstRow="1" w:lastRow="0" w:firstColumn="1" w:lastColumn="0" w:noHBand="0" w:noVBand="1"/>
      </w:tblPr>
      <w:tblGrid>
        <w:gridCol w:w="3864"/>
        <w:gridCol w:w="1222"/>
        <w:gridCol w:w="1102"/>
        <w:gridCol w:w="1013"/>
        <w:gridCol w:w="1582"/>
      </w:tblGrid>
      <w:tr w:rsidR="00C22534" w14:paraId="58FACB6B" w14:textId="77777777" w:rsidTr="00E05B29">
        <w:tc>
          <w:tcPr>
            <w:tcW w:w="3864" w:type="dxa"/>
            <w:vAlign w:val="center"/>
          </w:tcPr>
          <w:p w14:paraId="340DCD1E" w14:textId="21E39724" w:rsidR="00F24045" w:rsidRDefault="00F24045" w:rsidP="00C22534">
            <w:pPr>
              <w:jc w:val="center"/>
            </w:pPr>
            <w:r>
              <w:t>Nome do teste</w:t>
            </w:r>
          </w:p>
        </w:tc>
        <w:tc>
          <w:tcPr>
            <w:tcW w:w="1222" w:type="dxa"/>
            <w:vAlign w:val="center"/>
          </w:tcPr>
          <w:p w14:paraId="5F83C9E1" w14:textId="77777777" w:rsidR="00F24045" w:rsidRDefault="00F24045" w:rsidP="00C22534">
            <w:pPr>
              <w:jc w:val="center"/>
            </w:pPr>
            <w:r>
              <w:t>Valores</w:t>
            </w:r>
          </w:p>
          <w:p w14:paraId="1082BCE9" w14:textId="3B140D0E" w:rsidR="00C22534" w:rsidRDefault="00C22534" w:rsidP="00C22534">
            <w:pPr>
              <w:jc w:val="center"/>
            </w:pPr>
            <w:r>
              <w:t>(this,other)</w:t>
            </w:r>
          </w:p>
        </w:tc>
        <w:tc>
          <w:tcPr>
            <w:tcW w:w="1102" w:type="dxa"/>
            <w:vAlign w:val="center"/>
          </w:tcPr>
          <w:p w14:paraId="0295F54A" w14:textId="741F6840" w:rsidR="00F24045" w:rsidRDefault="00F24045" w:rsidP="00C22534">
            <w:pPr>
              <w:jc w:val="center"/>
            </w:pPr>
            <w:r>
              <w:t>Resultado esperado</w:t>
            </w:r>
          </w:p>
        </w:tc>
        <w:tc>
          <w:tcPr>
            <w:tcW w:w="1013" w:type="dxa"/>
            <w:vAlign w:val="center"/>
          </w:tcPr>
          <w:p w14:paraId="4DEFC5AA" w14:textId="2C30701E" w:rsidR="00F24045" w:rsidRDefault="00C22534" w:rsidP="00C22534">
            <w:pPr>
              <w:jc w:val="center"/>
            </w:pPr>
            <w:r>
              <w:t>Caminho</w:t>
            </w:r>
          </w:p>
        </w:tc>
        <w:tc>
          <w:tcPr>
            <w:tcW w:w="1582" w:type="dxa"/>
            <w:vAlign w:val="center"/>
          </w:tcPr>
          <w:p w14:paraId="027EE3EE" w14:textId="480C0F39" w:rsidR="00F24045" w:rsidRDefault="00C22534" w:rsidP="00C22534">
            <w:pPr>
              <w:jc w:val="center"/>
            </w:pPr>
            <w:r>
              <w:t>Requerimentos cobertos</w:t>
            </w:r>
          </w:p>
        </w:tc>
      </w:tr>
      <w:tr w:rsidR="00C22534" w:rsidRPr="00C22534" w14:paraId="6D9BC659" w14:textId="77777777" w:rsidTr="00E05B29">
        <w:tc>
          <w:tcPr>
            <w:tcW w:w="3864" w:type="dxa"/>
            <w:vAlign w:val="center"/>
          </w:tcPr>
          <w:p w14:paraId="285ABD4A" w14:textId="28A0BF91" w:rsidR="00C22534" w:rsidRPr="00C22534" w:rsidRDefault="00C22534" w:rsidP="00C22534">
            <w:pPr>
              <w:jc w:val="center"/>
              <w:rPr>
                <w:lang w:val="en-US"/>
              </w:rPr>
            </w:pPr>
            <w:r>
              <w:rPr>
                <w:lang w:val="en-US"/>
              </w:rPr>
              <w:t>testArrayNTreeEqualsSameRef</w:t>
            </w:r>
          </w:p>
        </w:tc>
        <w:tc>
          <w:tcPr>
            <w:tcW w:w="1222" w:type="dxa"/>
            <w:vAlign w:val="center"/>
          </w:tcPr>
          <w:p w14:paraId="3C1C7C33" w14:textId="13533231" w:rsidR="00F24045" w:rsidRPr="00C22534" w:rsidRDefault="00C22534" w:rsidP="00C22534">
            <w:r w:rsidRPr="00C22534">
              <w:t xml:space="preserve">this e other </w:t>
            </w:r>
            <w:r>
              <w:t>são a mesma instância</w:t>
            </w:r>
          </w:p>
        </w:tc>
        <w:tc>
          <w:tcPr>
            <w:tcW w:w="1102" w:type="dxa"/>
            <w:vAlign w:val="center"/>
          </w:tcPr>
          <w:p w14:paraId="2BD592D6" w14:textId="56160542" w:rsidR="00F24045" w:rsidRPr="00C22534" w:rsidRDefault="00C22534" w:rsidP="00C22534">
            <w:pPr>
              <w:jc w:val="center"/>
              <w:rPr>
                <w:lang w:val="en-US"/>
              </w:rPr>
            </w:pPr>
            <w:r>
              <w:rPr>
                <w:lang w:val="en-US"/>
              </w:rPr>
              <w:t>true</w:t>
            </w:r>
          </w:p>
        </w:tc>
        <w:tc>
          <w:tcPr>
            <w:tcW w:w="1013" w:type="dxa"/>
            <w:vAlign w:val="center"/>
          </w:tcPr>
          <w:p w14:paraId="3B6EDB35" w14:textId="300DE53C" w:rsidR="00F24045" w:rsidRPr="00C22534" w:rsidRDefault="00C22534" w:rsidP="00C22534">
            <w:pPr>
              <w:jc w:val="center"/>
              <w:rPr>
                <w:lang w:val="en-US"/>
              </w:rPr>
            </w:pPr>
            <w:r>
              <w:rPr>
                <w:lang w:val="en-US"/>
              </w:rPr>
              <w:t>[0,1]</w:t>
            </w:r>
          </w:p>
        </w:tc>
        <w:tc>
          <w:tcPr>
            <w:tcW w:w="1582" w:type="dxa"/>
            <w:vAlign w:val="center"/>
          </w:tcPr>
          <w:p w14:paraId="26DC5453" w14:textId="15F6D75C" w:rsidR="00F24045" w:rsidRPr="00C22534" w:rsidRDefault="00C22534" w:rsidP="00C22534">
            <w:pPr>
              <w:jc w:val="center"/>
              <w:rPr>
                <w:lang w:val="en-US"/>
              </w:rPr>
            </w:pPr>
            <w:r>
              <w:rPr>
                <w:lang w:val="en-US"/>
              </w:rPr>
              <w:t>[0,1]</w:t>
            </w:r>
          </w:p>
        </w:tc>
      </w:tr>
      <w:tr w:rsidR="00C22534" w:rsidRPr="00C22534" w14:paraId="5133D5F8" w14:textId="77777777" w:rsidTr="00E05B29">
        <w:tc>
          <w:tcPr>
            <w:tcW w:w="3864" w:type="dxa"/>
            <w:vAlign w:val="center"/>
          </w:tcPr>
          <w:p w14:paraId="68C427FE" w14:textId="46B7E597" w:rsidR="00C22534" w:rsidRDefault="00C22534" w:rsidP="00C22534">
            <w:pPr>
              <w:jc w:val="center"/>
              <w:rPr>
                <w:lang w:val="en-US"/>
              </w:rPr>
            </w:pPr>
            <w:r>
              <w:rPr>
                <w:lang w:val="en-US"/>
              </w:rPr>
              <w:t>testArrayNTreeEqualsOtherNotNTree</w:t>
            </w:r>
          </w:p>
        </w:tc>
        <w:tc>
          <w:tcPr>
            <w:tcW w:w="1222" w:type="dxa"/>
            <w:vAlign w:val="center"/>
          </w:tcPr>
          <w:p w14:paraId="483F291E" w14:textId="43AD3C13" w:rsidR="00C22534" w:rsidRDefault="00C22534" w:rsidP="00C22534">
            <w:pPr>
              <w:jc w:val="center"/>
              <w:rPr>
                <w:lang w:val="en-US"/>
              </w:rPr>
            </w:pPr>
            <w:r>
              <w:rPr>
                <w:lang w:val="en-US"/>
              </w:rPr>
              <w:t>([1],1)</w:t>
            </w:r>
          </w:p>
        </w:tc>
        <w:tc>
          <w:tcPr>
            <w:tcW w:w="1102" w:type="dxa"/>
            <w:vAlign w:val="center"/>
          </w:tcPr>
          <w:p w14:paraId="3A1948AD" w14:textId="206C18EB" w:rsidR="00C22534" w:rsidRDefault="00C22534" w:rsidP="00C22534">
            <w:pPr>
              <w:jc w:val="center"/>
              <w:rPr>
                <w:lang w:val="en-US"/>
              </w:rPr>
            </w:pPr>
            <w:r>
              <w:rPr>
                <w:lang w:val="en-US"/>
              </w:rPr>
              <w:t>false</w:t>
            </w:r>
          </w:p>
        </w:tc>
        <w:tc>
          <w:tcPr>
            <w:tcW w:w="1013" w:type="dxa"/>
            <w:vAlign w:val="center"/>
          </w:tcPr>
          <w:p w14:paraId="7705FA73" w14:textId="4D6388A5" w:rsidR="00C22534" w:rsidRDefault="00C22534" w:rsidP="00C22534">
            <w:pPr>
              <w:jc w:val="center"/>
              <w:rPr>
                <w:lang w:val="en-US"/>
              </w:rPr>
            </w:pPr>
            <w:r>
              <w:rPr>
                <w:lang w:val="en-US"/>
              </w:rPr>
              <w:t>[0,2,3]</w:t>
            </w:r>
          </w:p>
        </w:tc>
        <w:tc>
          <w:tcPr>
            <w:tcW w:w="1582" w:type="dxa"/>
            <w:vAlign w:val="center"/>
          </w:tcPr>
          <w:p w14:paraId="3B65F34E" w14:textId="4E20AC6A" w:rsidR="00C22534" w:rsidRDefault="00C22534" w:rsidP="00C22534">
            <w:pPr>
              <w:jc w:val="center"/>
              <w:rPr>
                <w:lang w:val="en-US"/>
              </w:rPr>
            </w:pPr>
            <w:r>
              <w:rPr>
                <w:lang w:val="en-US"/>
              </w:rPr>
              <w:t>[0,2,3]</w:t>
            </w:r>
          </w:p>
        </w:tc>
      </w:tr>
      <w:tr w:rsidR="00C22534" w:rsidRPr="00C22534" w14:paraId="6FAF943F" w14:textId="77777777" w:rsidTr="00E05B29">
        <w:tc>
          <w:tcPr>
            <w:tcW w:w="3864" w:type="dxa"/>
            <w:vAlign w:val="center"/>
          </w:tcPr>
          <w:p w14:paraId="00D8A0E5" w14:textId="6334BE2A" w:rsidR="00C22534" w:rsidRDefault="00C22534" w:rsidP="00C22534">
            <w:pPr>
              <w:jc w:val="center"/>
              <w:rPr>
                <w:lang w:val="en-US"/>
              </w:rPr>
            </w:pPr>
            <w:r>
              <w:rPr>
                <w:lang w:val="en-US"/>
              </w:rPr>
              <w:t>testArrayNTreeEqualsEqualNTreesDiffRef</w:t>
            </w:r>
          </w:p>
        </w:tc>
        <w:tc>
          <w:tcPr>
            <w:tcW w:w="1222" w:type="dxa"/>
            <w:vAlign w:val="center"/>
          </w:tcPr>
          <w:p w14:paraId="11A12BF0" w14:textId="36447C0F" w:rsidR="00C22534" w:rsidRDefault="00C22534" w:rsidP="00C22534">
            <w:pPr>
              <w:jc w:val="center"/>
              <w:rPr>
                <w:lang w:val="en-US"/>
              </w:rPr>
            </w:pPr>
            <w:r>
              <w:rPr>
                <w:lang w:val="en-US"/>
              </w:rPr>
              <w:t>([1],[1])</w:t>
            </w:r>
          </w:p>
        </w:tc>
        <w:tc>
          <w:tcPr>
            <w:tcW w:w="1102" w:type="dxa"/>
            <w:vAlign w:val="center"/>
          </w:tcPr>
          <w:p w14:paraId="6F1F593F" w14:textId="1D228B23" w:rsidR="00C22534" w:rsidRDefault="00C22534" w:rsidP="00C22534">
            <w:pPr>
              <w:jc w:val="center"/>
              <w:rPr>
                <w:lang w:val="en-US"/>
              </w:rPr>
            </w:pPr>
            <w:r>
              <w:rPr>
                <w:lang w:val="en-US"/>
              </w:rPr>
              <w:t>true</w:t>
            </w:r>
          </w:p>
        </w:tc>
        <w:tc>
          <w:tcPr>
            <w:tcW w:w="1013" w:type="dxa"/>
            <w:vAlign w:val="center"/>
          </w:tcPr>
          <w:p w14:paraId="20AFC109" w14:textId="7AFD70CD" w:rsidR="00C22534" w:rsidRDefault="00E05B29" w:rsidP="00C22534">
            <w:pPr>
              <w:jc w:val="center"/>
              <w:rPr>
                <w:lang w:val="en-US"/>
              </w:rPr>
            </w:pPr>
            <w:r>
              <w:rPr>
                <w:lang w:val="en-US"/>
              </w:rPr>
              <w:t>[0,2,4]</w:t>
            </w:r>
          </w:p>
        </w:tc>
        <w:tc>
          <w:tcPr>
            <w:tcW w:w="1582" w:type="dxa"/>
            <w:vAlign w:val="center"/>
          </w:tcPr>
          <w:p w14:paraId="118D2ACC" w14:textId="592E0F1A" w:rsidR="00C22534" w:rsidRDefault="00E05B29" w:rsidP="00C22534">
            <w:pPr>
              <w:jc w:val="center"/>
              <w:rPr>
                <w:lang w:val="en-US"/>
              </w:rPr>
            </w:pPr>
            <w:r>
              <w:rPr>
                <w:lang w:val="en-US"/>
              </w:rPr>
              <w:t>[0,2,4]</w:t>
            </w:r>
          </w:p>
        </w:tc>
      </w:tr>
    </w:tbl>
    <w:p w14:paraId="735E773B" w14:textId="77777777" w:rsidR="00F24045" w:rsidRDefault="00F24045" w:rsidP="00F24045">
      <w:pPr>
        <w:rPr>
          <w:lang w:val="en-US"/>
        </w:rPr>
      </w:pPr>
    </w:p>
    <w:p w14:paraId="0B6E4DFC" w14:textId="5A15A307" w:rsidR="00C22534" w:rsidRDefault="00C22534" w:rsidP="00F24045">
      <w:pPr>
        <w:rPr>
          <w:color w:val="FF0000"/>
        </w:rPr>
      </w:pPr>
      <w:r w:rsidRPr="00C22534">
        <w:t>*Para a representação dos v</w:t>
      </w:r>
      <w:r>
        <w:t xml:space="preserve">alores foi usada a representação toString dos objetos </w:t>
      </w:r>
      <w:r w:rsidRPr="00C22534">
        <w:rPr>
          <w:color w:val="FF0000"/>
        </w:rPr>
        <w:t>ArrayNTree</w:t>
      </w:r>
    </w:p>
    <w:p w14:paraId="177C2F5F" w14:textId="2879BE5E" w:rsidR="00780C61" w:rsidRDefault="0010623F" w:rsidP="00780C61">
      <w:pPr>
        <w:pStyle w:val="Heading2"/>
      </w:pPr>
      <w:r>
        <w:t>Prime Path Coverage</w:t>
      </w:r>
    </w:p>
    <w:p w14:paraId="5A246CB1" w14:textId="0FE913BD" w:rsidR="00780C61" w:rsidRPr="00780C61" w:rsidRDefault="00780C61" w:rsidP="00780C61">
      <w:r>
        <w:t>Comecemos por determinar os prime paths (marcados a negrito):</w:t>
      </w:r>
    </w:p>
    <w:p w14:paraId="38EA7677" w14:textId="279A47C0" w:rsidR="0010623F" w:rsidRPr="0010623F" w:rsidRDefault="0010623F" w:rsidP="0010623F">
      <w:r>
        <w:t xml:space="preserve">[0] </w:t>
      </w:r>
      <w:r w:rsidRPr="0010623F">
        <w:rPr>
          <w:b/>
          <w:bCs/>
        </w:rPr>
        <w:t>[0,1]</w:t>
      </w:r>
      <w:r>
        <w:t xml:space="preserve">! [0,2] \ </w:t>
      </w:r>
      <w:r w:rsidRPr="0010623F">
        <w:rPr>
          <w:b/>
          <w:bCs/>
        </w:rPr>
        <w:t>[0,2,3]</w:t>
      </w:r>
      <w:r>
        <w:t xml:space="preserve">! </w:t>
      </w:r>
      <w:r w:rsidRPr="0010623F">
        <w:rPr>
          <w:b/>
          <w:bCs/>
        </w:rPr>
        <w:t>[0,2,4]</w:t>
      </w:r>
      <w:r>
        <w:t>!</w:t>
      </w:r>
    </w:p>
    <w:p w14:paraId="3D8F163D" w14:textId="28CAAF6F" w:rsidR="0010623F" w:rsidRDefault="0010623F" w:rsidP="0010623F">
      <w:r>
        <w:t>[1]!</w:t>
      </w:r>
    </w:p>
    <w:p w14:paraId="1CC33BE1" w14:textId="77283414" w:rsidR="0010623F" w:rsidRPr="0010623F" w:rsidRDefault="0010623F" w:rsidP="0010623F">
      <w:r>
        <w:t xml:space="preserve">[2] </w:t>
      </w:r>
      <w:r w:rsidRPr="00780C61">
        <w:t>[2,3]!</w:t>
      </w:r>
      <w:r>
        <w:t xml:space="preserve"> </w:t>
      </w:r>
      <w:r w:rsidRPr="00780C61">
        <w:t>[2,4]!</w:t>
      </w:r>
    </w:p>
    <w:p w14:paraId="7A562104" w14:textId="02B8F684" w:rsidR="0010623F" w:rsidRDefault="0010623F" w:rsidP="0010623F">
      <w:r>
        <w:t>[3]!</w:t>
      </w:r>
    </w:p>
    <w:p w14:paraId="1D83673B" w14:textId="551C03D8" w:rsidR="00780C61" w:rsidRDefault="0010623F" w:rsidP="0010623F">
      <w:r>
        <w:t>[4]!</w:t>
      </w:r>
    </w:p>
    <w:p w14:paraId="68C5202A" w14:textId="15A408FF" w:rsidR="00780C61" w:rsidRPr="0010623F" w:rsidRDefault="00780C61" w:rsidP="0010623F">
      <w:r>
        <w:lastRenderedPageBreak/>
        <w:t>Com isto, determina-se TR(PPC)= {[0,1], [0,2,3], [0,2,4]}. Portanto os testes feitos para cobrir os requerimentos do critério Edge-Pair Coverage também irão cobrir os requerimentos do critério Prime Path Coverage.</w:t>
      </w:r>
    </w:p>
    <w:p w14:paraId="01CCBAF6" w14:textId="7F7BEF98" w:rsidR="00954A4A" w:rsidRDefault="00954A4A" w:rsidP="00954A4A">
      <w:pPr>
        <w:pStyle w:val="Heading1"/>
      </w:pPr>
      <w:r>
        <w:t>3.</w:t>
      </w:r>
    </w:p>
    <w:p w14:paraId="2C2E6F30" w14:textId="4E7BD3DF" w:rsidR="00954A4A" w:rsidRDefault="00954A4A" w:rsidP="00954A4A">
      <w:pPr>
        <w:pStyle w:val="Heading1"/>
      </w:pPr>
      <w:r>
        <w:t>4.</w:t>
      </w:r>
    </w:p>
    <w:p w14:paraId="44C4CF52" w14:textId="198578EE" w:rsidR="00954A4A" w:rsidRPr="00954A4A" w:rsidRDefault="00954A4A" w:rsidP="00954A4A">
      <w:r>
        <w:t>Parâmetros de input: this, other</w:t>
      </w:r>
    </w:p>
    <w:p w14:paraId="2EA75B93" w14:textId="31383610" w:rsidR="00954A4A" w:rsidRDefault="00954A4A" w:rsidP="00954A4A">
      <w:r>
        <w:t>Características:</w:t>
      </w:r>
    </w:p>
    <w:p w14:paraId="213E0A86" w14:textId="74FB6A00" w:rsidR="00954A4A" w:rsidRDefault="00954A4A" w:rsidP="00954A4A">
      <w:pPr>
        <w:pStyle w:val="ListParagraph"/>
        <w:numPr>
          <w:ilvl w:val="0"/>
          <w:numId w:val="1"/>
        </w:numPr>
      </w:pPr>
      <w:r>
        <w:t>isNTree: Yes/No</w:t>
      </w:r>
    </w:p>
    <w:p w14:paraId="688A213D" w14:textId="12FEC06D" w:rsidR="00954A4A" w:rsidRDefault="0013338C" w:rsidP="00954A4A">
      <w:pPr>
        <w:pStyle w:val="ListParagraph"/>
        <w:numPr>
          <w:ilvl w:val="0"/>
          <w:numId w:val="1"/>
        </w:numPr>
      </w:pPr>
      <w:r>
        <w:t>Size: 0,1, 2+</w:t>
      </w:r>
    </w:p>
    <w:p w14:paraId="024C28DA" w14:textId="76FC3319" w:rsidR="0013338C" w:rsidRDefault="0013338C" w:rsidP="00954A4A">
      <w:pPr>
        <w:pStyle w:val="ListParagraph"/>
        <w:numPr>
          <w:ilvl w:val="0"/>
          <w:numId w:val="1"/>
        </w:numPr>
      </w:pPr>
      <w:r>
        <w:t>childrenCapacity: 0, 1, 2+</w:t>
      </w:r>
    </w:p>
    <w:p w14:paraId="00F95C80" w14:textId="4ED2738F" w:rsidR="00CD744B" w:rsidRPr="00954A4A" w:rsidRDefault="00CD744B" w:rsidP="00CD744B"/>
    <w:p w14:paraId="55419DC6" w14:textId="2C6F6BE7" w:rsidR="00954A4A" w:rsidRPr="00954A4A" w:rsidRDefault="00954A4A" w:rsidP="00954A4A"/>
    <w:p w14:paraId="6DBFCD9D" w14:textId="77777777" w:rsidR="00954A4A" w:rsidRPr="00954A4A" w:rsidRDefault="00954A4A" w:rsidP="00954A4A"/>
    <w:p w14:paraId="5CC022E9" w14:textId="77777777" w:rsidR="00954A4A" w:rsidRDefault="00954A4A" w:rsidP="000E4A45">
      <w:pPr>
        <w:jc w:val="both"/>
      </w:pPr>
    </w:p>
    <w:p w14:paraId="1E12FAE0" w14:textId="77777777" w:rsidR="00954A4A" w:rsidRPr="000E4A45" w:rsidRDefault="00954A4A" w:rsidP="000E4A45">
      <w:pPr>
        <w:jc w:val="both"/>
      </w:pPr>
    </w:p>
    <w:sectPr w:rsidR="00954A4A" w:rsidRPr="000E4A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C37"/>
    <w:multiLevelType w:val="hybridMultilevel"/>
    <w:tmpl w:val="0D2E1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2462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E4A45"/>
    <w:rsid w:val="0010623F"/>
    <w:rsid w:val="0013338C"/>
    <w:rsid w:val="00275DB2"/>
    <w:rsid w:val="002F3C79"/>
    <w:rsid w:val="005835F7"/>
    <w:rsid w:val="00780C61"/>
    <w:rsid w:val="007958BA"/>
    <w:rsid w:val="008510BF"/>
    <w:rsid w:val="00937889"/>
    <w:rsid w:val="00954A4A"/>
    <w:rsid w:val="00C0276B"/>
    <w:rsid w:val="00C22534"/>
    <w:rsid w:val="00CD744B"/>
    <w:rsid w:val="00DF00D9"/>
    <w:rsid w:val="00E05B29"/>
    <w:rsid w:val="00F24045"/>
    <w:rsid w:val="00F500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F9B"/>
  <w15:chartTrackingRefBased/>
  <w15:docId w15:val="{C543601B-19A4-4622-BBA8-5B1105C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1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1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2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0BF"/>
    <w:rPr>
      <w:rFonts w:eastAsiaTheme="majorEastAsia" w:cstheme="majorBidi"/>
      <w:color w:val="272727" w:themeColor="text1" w:themeTint="D8"/>
    </w:rPr>
  </w:style>
  <w:style w:type="paragraph" w:styleId="Title">
    <w:name w:val="Title"/>
    <w:basedOn w:val="Normal"/>
    <w:next w:val="Normal"/>
    <w:link w:val="TitleChar"/>
    <w:uiPriority w:val="10"/>
    <w:qFormat/>
    <w:rsid w:val="0085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510BF"/>
    <w:rPr>
      <w:i/>
      <w:iCs/>
      <w:color w:val="404040" w:themeColor="text1" w:themeTint="BF"/>
    </w:rPr>
  </w:style>
  <w:style w:type="paragraph" w:styleId="ListParagraph">
    <w:name w:val="List Paragraph"/>
    <w:basedOn w:val="Normal"/>
    <w:uiPriority w:val="34"/>
    <w:qFormat/>
    <w:rsid w:val="008510BF"/>
    <w:pPr>
      <w:ind w:left="720"/>
      <w:contextualSpacing/>
    </w:pPr>
  </w:style>
  <w:style w:type="character" w:styleId="IntenseEmphasis">
    <w:name w:val="Intense Emphasis"/>
    <w:basedOn w:val="DefaultParagraphFont"/>
    <w:uiPriority w:val="21"/>
    <w:qFormat/>
    <w:rsid w:val="008510BF"/>
    <w:rPr>
      <w:i/>
      <w:iCs/>
      <w:color w:val="2F5496" w:themeColor="accent1" w:themeShade="BF"/>
    </w:rPr>
  </w:style>
  <w:style w:type="paragraph" w:styleId="IntenseQuote">
    <w:name w:val="Intense Quote"/>
    <w:basedOn w:val="Normal"/>
    <w:next w:val="Normal"/>
    <w:link w:val="IntenseQuoteChar"/>
    <w:uiPriority w:val="30"/>
    <w:qFormat/>
    <w:rsid w:val="00851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0BF"/>
    <w:rPr>
      <w:i/>
      <w:iCs/>
      <w:color w:val="2F5496" w:themeColor="accent1" w:themeShade="BF"/>
    </w:rPr>
  </w:style>
  <w:style w:type="character" w:styleId="IntenseReference">
    <w:name w:val="Intense Reference"/>
    <w:basedOn w:val="DefaultParagraphFont"/>
    <w:uiPriority w:val="32"/>
    <w:qFormat/>
    <w:rsid w:val="008510BF"/>
    <w:rPr>
      <w:b/>
      <w:bCs/>
      <w:smallCaps/>
      <w:color w:val="2F5496" w:themeColor="accent1" w:themeShade="BF"/>
      <w:spacing w:val="5"/>
    </w:rPr>
  </w:style>
  <w:style w:type="table" w:styleId="TableGrid">
    <w:name w:val="Table Grid"/>
    <w:basedOn w:val="TableNormal"/>
    <w:uiPriority w:val="39"/>
    <w:rsid w:val="00F2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322</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Figueiredo</dc:creator>
  <cp:keywords/>
  <dc:description/>
  <cp:lastModifiedBy>Alexandre Figueiredo</cp:lastModifiedBy>
  <cp:revision>9</cp:revision>
  <dcterms:created xsi:type="dcterms:W3CDTF">2024-03-19T19:59:00Z</dcterms:created>
  <dcterms:modified xsi:type="dcterms:W3CDTF">2024-03-22T10:49:00Z</dcterms:modified>
</cp:coreProperties>
</file>