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numPr>
          <w:ilvl w:val="0"/>
          <w:numId w:val="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Abonnés</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Prénom</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Adresse</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Numéro téléphone</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 d’inscription</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w:t>
      </w:r>
    </w:p>
    <w:p>
      <w:pPr>
        <w:numPr>
          <w:ilvl w:val="0"/>
          <w:numId w:val="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Livres</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Titre</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Auteur</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Editeur</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Couleur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w:t>
      </w:r>
      <w:r>
        <w:rPr>
          <w:rFonts w:ascii="Calibri" w:hAnsi="Calibri" w:cs="Calibri" w:eastAsia="Calibri"/>
          <w:color w:val="auto"/>
          <w:spacing w:val="0"/>
          <w:position w:val="0"/>
          <w:sz w:val="22"/>
          <w:shd w:fill="auto" w:val="clear"/>
        </w:rPr>
        <w:t xml:space="preserve">ème ?</w:t>
      </w:r>
    </w:p>
    <w:p>
      <w:pPr>
        <w:numPr>
          <w:ilvl w:val="0"/>
          <w:numId w:val="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Emprunts </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Infos livre emprunté</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 d’emprunt sur fiche lecteur et fiche livre</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Infos emprunteurs</w:t>
      </w:r>
    </w:p>
    <w:p>
      <w:pPr>
        <w:numPr>
          <w:ilvl w:val="0"/>
          <w:numId w:val="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Retour </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Fiche lecteur : date retour</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Fiche livre : date retour</w:t>
      </w:r>
    </w:p>
    <w:p>
      <w:pPr>
        <w:numPr>
          <w:ilvl w:val="0"/>
          <w:numId w:val="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Relance </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Fiches livres empruntés : check date date d’emprunt &gt;2 semaines</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 courrier de relance</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relance : plus possibilité emprunt</w:t>
      </w:r>
    </w:p>
    <w:p>
      <w:pPr>
        <w:numPr>
          <w:ilvl w:val="0"/>
          <w:numId w:val="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Destruction / perte / vol</w:t>
      </w:r>
    </w:p>
    <w:p>
      <w:pPr>
        <w:numPr>
          <w:ilvl w:val="0"/>
          <w:numId w:val="1"/>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 mise au rébut fiche livre</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livre emprunté à la fois, max 2 semaines</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Consultation pour visiteurs : auteurs, thèmes, editeur, date d’édition</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 fréquence emprunt par auteur et par livre(carac livres ?)</w:t>
      </w:r>
    </w:p>
    <w:p>
      <w:pPr>
        <w:spacing w:before="0" w:after="160" w:line="259"/>
        <w:ind w:right="0" w:left="0" w:firstLine="0"/>
        <w:jc w:val="center"/>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Dictionnaire de données</w:t>
      </w:r>
    </w:p>
    <w:tbl>
      <w:tblPr/>
      <w:tblGrid>
        <w:gridCol w:w="1792"/>
        <w:gridCol w:w="1790"/>
        <w:gridCol w:w="1784"/>
        <w:gridCol w:w="1934"/>
        <w:gridCol w:w="1762"/>
      </w:tblGrid>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Code</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Libellé</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Contrainte</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calcul</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nom</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Nom abonné</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Varchar 50</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prénom</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Prénom abonné</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Varchar 50</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Adresse</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Adresse de l’abonné</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Varchar 50</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 d’inscription </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 d’inscription de l’abonné</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téléphone</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Numéro de téléphone de l’abonné</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Varchar 10</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 10 chiffres</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ID lecteur</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ID de l’abonné</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Int // mediumint unsigned largement suffisant</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 Auto_increment</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Titre</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Titre de l’oeuvre</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Varchar 50</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Auteur</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Auteur de l’oeuvre</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Varchar 50</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Editeur</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Editeur du livre</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Varchar 20</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Thème</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Thème du livre </w:t>
            </w:r>
            <w:r>
              <w:rPr>
                <w:rFonts w:ascii="Calibri" w:hAnsi="Calibri" w:cs="Calibri" w:eastAsia="Calibri"/>
                <w:color w:val="0070C0"/>
                <w:spacing w:val="0"/>
                <w:position w:val="0"/>
                <w:sz w:val="22"/>
                <w:shd w:fill="auto" w:val="clear"/>
              </w:rPr>
              <w:t xml:space="preserve">–</w:t>
            </w:r>
            <w:r>
              <w:rPr>
                <w:rFonts w:ascii="Calibri" w:hAnsi="Calibri" w:cs="Calibri" w:eastAsia="Calibri"/>
                <w:color w:val="0070C0"/>
                <w:spacing w:val="0"/>
                <w:position w:val="0"/>
                <w:sz w:val="22"/>
                <w:shd w:fill="auto" w:val="clear"/>
              </w:rPr>
              <w:t xml:space="preserve"> pastille de couleur</w:t>
            </w:r>
            <w:r>
              <w:rPr>
                <w:rFonts w:ascii="Calibri" w:hAnsi="Calibri" w:cs="Calibri" w:eastAsia="Calibri"/>
                <w:color w:val="0070C0"/>
                <w:spacing w:val="0"/>
                <w:position w:val="0"/>
                <w:sz w:val="22"/>
                <w:shd w:fill="auto" w:val="clear"/>
              </w:rPr>
              <w:t xml:space="preserve"> ?</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Varchar 20</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Id livre</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Numéro ID livre</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Int// mediumint unsigned largement suffisant</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 AUTO_INCREMENT</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 d’emprunt</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 d’emprunt du livre</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 retour</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 de retour du livre emprunté</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 de mise au rébut</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 a laquelle le livre a été mis « hors service » : perte / vol / etc</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 relance</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 à laquelle la première relance a été envoyée</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Date</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Nombre relance</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Nombre de relance envoyées</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Smallint</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r>
        <w:trPr>
          <w:trHeight w:val="1" w:hRule="atLeast"/>
          <w:jc w:val="left"/>
        </w:trPr>
        <w:tc>
          <w:tcPr>
            <w:tcW w:w="17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Id de l’emprunt</w:t>
            </w:r>
          </w:p>
        </w:tc>
        <w:tc>
          <w:tcPr>
            <w:tcW w:w="1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Numéro d’id de l’emprunt</w:t>
            </w:r>
          </w:p>
        </w:tc>
        <w:tc>
          <w:tcPr>
            <w:tcW w:w="17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Mediumint unsigned</w:t>
            </w:r>
          </w:p>
        </w:tc>
        <w:tc>
          <w:tcPr>
            <w:tcW w:w="1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Not null</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70C0"/>
                <w:spacing w:val="0"/>
                <w:position w:val="0"/>
                <w:sz w:val="22"/>
                <w:shd w:fill="auto" w:val="clear"/>
              </w:rPr>
              <w:t xml:space="preserve">/</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8709" w:dyaOrig="2517">
          <v:rect xmlns:o="urn:schemas-microsoft-com:office:office" xmlns:v="urn:schemas-microsoft-com:vml" id="rectole0000000000" style="width:435.450000pt;height:125.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5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Association « passe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cardinalités de cette association sont 0,n et 1,1. La partie 1,1 implique qu’il n’y a qu’un seul et unique client par commande. Chaque commande est donc associée avec un seul et unique identifiant client (num_cli, ici). En terme de modèle physique, cela se traduit par le fait que la clef primaire de la table client (num_cli, ici, donc) se retrouve en clef étrangère dans la table commande.</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6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Association « secomposede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L’association contient des attributs qui lui sont propres : quantité « qte » et taux de tva « tauxtva ».  Cela implique que, pour chaque commande, elle sera composée de x fois tel article a tel taux de TVA, pour chaque article commandé. Les cardinalités sont de 1,n et 0,n  , chaque commande contenant de 1 à n produits, et chaque produit pouvant être commandé de 0 à n fois.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relations de cardinalité maximales « n » des deux cotés de la relation entraînent, dans le passage du MCD au MLD, la création d’une table dont la clef primaire contient les clés étrangères qui font référence aux relations liées par l’association concernée. Ici, les tables commande, et article.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Il conviendra sans doute de renommer la table une fois passée au modèle physique, passant , par exemple, de « se compose de » à « ligne de commande », contenant la référence de l’article, le numéro de la commande, la quantité de l’article commandé et son taux de tva.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pour la table client, la clef primaire est,ici, la clef "num_cli", son intérêt ici est de donner un numéro fixe et unique à chaque client, permettant ainsi de chercher, et donc de gérer, chaque client de manière indépendante.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pour la table commande, sa clef primaire est la clef, ici, "num_commande" . Elle permettra, ici, d'identifier chaque commande ed manière indépendante, et donc, comme au dessus, de les chercher, et donc, de les gérer. La clef étrangère , ici , est la clef primaire de la table client, à savoir, donc "num_cli". cette clef étrangère permet de faire la jointure entre les tables commande et client, et donc d'associer une commande précise à un client précis. et donc ainsi de pouvoir les honorer.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000000"/>
          <w:spacing w:val="0"/>
          <w:position w:val="0"/>
          <w:sz w:val="20"/>
          <w:shd w:fill="auto" w:val="clear"/>
        </w:rPr>
        <w:t xml:space="preserve">CREATE TABLE client(</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num_cli INT,</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nomclient VARCHAR(50) NOT NULL,</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prenomclient VARCHAR(50) NOT NULL,</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PRIMARY KEY(num_cli)</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w:t>
      </w:r>
    </w:p>
    <w:p>
      <w:pPr>
        <w:spacing w:before="0" w:after="0" w:line="240"/>
        <w:ind w:right="0" w:left="0" w:firstLine="0"/>
        <w:jc w:val="left"/>
        <w:rPr>
          <w:rFonts w:ascii="Calibri" w:hAnsi="Calibri" w:cs="Calibri" w:eastAsia="Calibri"/>
          <w:color w:val="000000"/>
          <w:spacing w:val="0"/>
          <w:position w:val="0"/>
          <w:sz w:val="20"/>
          <w:shd w:fill="auto" w:val="clear"/>
        </w:rPr>
      </w:pP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CREATE TABLE commande(</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num_commande INT,</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datecommande DATE NOT NULL,</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montantcommande INT NOT NULL,</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num_cli INT NOT NULL,</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PRIMARY KEY(num_commande),</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FOREIGN KEY(num_cli) REFERENCES client(num_cli)</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w:t>
      </w:r>
    </w:p>
    <w:p>
      <w:pPr>
        <w:spacing w:before="0" w:after="0" w:line="240"/>
        <w:ind w:right="0" w:left="0" w:firstLine="0"/>
        <w:jc w:val="left"/>
        <w:rPr>
          <w:rFonts w:ascii="Calibri" w:hAnsi="Calibri" w:cs="Calibri" w:eastAsia="Calibri"/>
          <w:color w:val="000000"/>
          <w:spacing w:val="0"/>
          <w:position w:val="0"/>
          <w:sz w:val="20"/>
          <w:shd w:fill="auto" w:val="clear"/>
        </w:rPr>
      </w:pP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CREATE TABLE article(</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numéro_article INT AUTO_INCREMENT,</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designationarticle VARCHAR(50) NOT NULL,</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PUArticle DECIMAL(6,2) NOT NULL,</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PRIMARY KEY(numéro_article)</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w:t>
      </w:r>
    </w:p>
    <w:p>
      <w:pPr>
        <w:spacing w:before="0" w:after="0" w:line="240"/>
        <w:ind w:right="0" w:left="0" w:firstLine="0"/>
        <w:jc w:val="left"/>
        <w:rPr>
          <w:rFonts w:ascii="Calibri" w:hAnsi="Calibri" w:cs="Calibri" w:eastAsia="Calibri"/>
          <w:color w:val="000000"/>
          <w:spacing w:val="0"/>
          <w:position w:val="0"/>
          <w:sz w:val="20"/>
          <w:shd w:fill="auto" w:val="clear"/>
        </w:rPr>
      </w:pP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CREATE TABLE secomposede(</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num_commande INT,</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numéro_article INT,</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qte INT NOT NULL,</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tauxtva DECIMAL(4,2) NOT NULL,</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PRIMARY KEY(num_commande, numéro_article),</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FOREIGN KEY(num_commande) REFERENCES commande(num_commande),</w:t>
      </w:r>
    </w:p>
    <w:p>
      <w:pPr>
        <w:spacing w:before="0" w:after="0" w:line="240"/>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FOREIGN KEY(numéro_article) REFERENCES article(numéro_article)</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w:t>
      </w:r>
    </w:p>
    <w:p>
      <w:pPr>
        <w:spacing w:before="0" w:after="0" w:line="240"/>
        <w:ind w:right="0" w:left="0" w:firstLine="0"/>
        <w:jc w:val="left"/>
        <w:rPr>
          <w:rFonts w:ascii="Calibri" w:hAnsi="Calibri" w:cs="Calibri" w:eastAsia="Calibri"/>
          <w:color w:val="auto"/>
          <w:spacing w:val="0"/>
          <w:position w:val="0"/>
          <w:sz w:val="20"/>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1">
    <w:abstractNumId w:val="18"/>
  </w:num>
  <w:num w:numId="14">
    <w:abstractNumId w:val="12"/>
  </w:num>
  <w:num w:numId="59">
    <w:abstractNumId w:val="6"/>
  </w:num>
  <w:num w:numId="6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