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BF0242">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BF0242">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BF0242">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BF0242">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BF0242">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BF0242">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BF02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BF0242"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xml:space="preserve">, j’ai choisi l’architecture </w:t>
      </w:r>
      <w:proofErr w:type="spellStart"/>
      <w:r>
        <w:t>RESTful</w:t>
      </w:r>
      <w:proofErr w:type="spellEnd"/>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NodeJS et d’une base de données MySQL sur un </w:t>
      </w:r>
      <w:proofErr w:type="spellStart"/>
      <w:r>
        <w:t>Raspberry</w:t>
      </w:r>
      <w:proofErr w:type="spellEnd"/>
      <w:r>
        <w:t xml:space="preserve">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w:t>
      </w:r>
      <w:proofErr w:type="spellStart"/>
      <w:r>
        <w:t>URLs</w:t>
      </w:r>
      <w:proofErr w:type="spellEnd"/>
      <w:r>
        <w:t>)</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w:t>
      </w:r>
      <w:proofErr w:type="spellStart"/>
      <w:r>
        <w:t>URL</w:t>
      </w:r>
      <w:r w:rsidR="00786BF3">
        <w:t>s</w:t>
      </w:r>
      <w:proofErr w:type="spellEnd"/>
      <w:r w:rsidR="00786BF3">
        <w:t>)</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w:t>
      </w:r>
      <w:proofErr w:type="spellStart"/>
      <w:r>
        <w:t>URLs</w:t>
      </w:r>
      <w:proofErr w:type="spellEnd"/>
      <w:r>
        <w:t>)</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w:t>
      </w:r>
      <w:proofErr w:type="spellStart"/>
      <w:r>
        <w:t>charactères</w:t>
      </w:r>
      <w:proofErr w:type="spellEnd"/>
      <w:r>
        <w:t>)</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C167A" w:rsidRDefault="00C70531" w:rsidP="00786BF3">
      <w:pPr>
        <w:pStyle w:val="Paragraphedeliste"/>
        <w:numPr>
          <w:ilvl w:val="0"/>
          <w:numId w:val="31"/>
        </w:numPr>
      </w:pPr>
      <w:proofErr w:type="gramStart"/>
      <w:r>
        <w:t>xml</w:t>
      </w:r>
      <w:proofErr w:type="gramEnd"/>
      <w:r>
        <w:t>2js (convers</w:t>
      </w:r>
      <w:r w:rsidR="007C167A">
        <w:t>ion des XML en JSON)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proofErr w:type="spellStart"/>
      <w:r>
        <w:t>Raspberry</w:t>
      </w:r>
      <w:proofErr w:type="spellEnd"/>
      <w:r>
        <w:t xml:space="preserve">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Possibilité de faire des </w:t>
            </w:r>
            <w:proofErr w:type="spellStart"/>
            <w:r w:rsidRPr="00A45D3D">
              <w:rPr>
                <w:b w:val="0"/>
              </w:rPr>
              <w:t>snapshots</w:t>
            </w:r>
            <w:proofErr w:type="spellEnd"/>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proofErr w:type="spellStart"/>
      <w:r>
        <w:t>Raspberry</w:t>
      </w:r>
      <w:proofErr w:type="spellEnd"/>
      <w:r>
        <w:t xml:space="preserve">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w:t>
      </w:r>
      <w:proofErr w:type="spellStart"/>
      <w:r>
        <w:t>Raspberry</w:t>
      </w:r>
      <w:proofErr w:type="spellEnd"/>
      <w:r>
        <w:t xml:space="preserve">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t xml:space="preserve">  </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t>Interface web d’administration</w:t>
      </w:r>
      <w:bookmarkEnd w:id="14"/>
    </w:p>
    <w:p w:rsidR="00CC56E4" w:rsidRDefault="00CC56E4" w:rsidP="00CC56E4"/>
    <w:p w:rsidR="00CC56E4" w:rsidRDefault="00CC56E4" w:rsidP="00CC56E4">
      <w:pPr>
        <w:pStyle w:val="Titre3"/>
      </w:pPr>
      <w:r>
        <w:lastRenderedPageBreak/>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8" w:name="_Toc25553310"/>
      <w:bookmarkStart w:id="19" w:name="_Toc71691015"/>
      <w:bookmarkStart w:id="20" w:name="_Toc4070094"/>
      <w:r>
        <w:lastRenderedPageBreak/>
        <w:t>R</w:t>
      </w:r>
      <w:r w:rsidRPr="00791020">
        <w:t>isques techniques</w:t>
      </w:r>
      <w:bookmarkEnd w:id="18"/>
      <w:bookmarkEnd w:id="19"/>
      <w:bookmarkEnd w:id="20"/>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1" w:name="_Toc4070095"/>
      <w:r>
        <w:t>Budget initial</w:t>
      </w:r>
      <w:bookmarkEnd w:id="21"/>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2" w:name="_Toc4070096"/>
      <w:r>
        <w:t>Conception</w:t>
      </w:r>
      <w:bookmarkEnd w:id="22"/>
    </w:p>
    <w:p w:rsidR="00BC5535" w:rsidRDefault="00BC5535" w:rsidP="00BC5535"/>
    <w:p w:rsidR="00BC5535" w:rsidRDefault="00BC5535" w:rsidP="008B17B5">
      <w:pPr>
        <w:pStyle w:val="Titre2"/>
      </w:pPr>
      <w:bookmarkStart w:id="23" w:name="_Toc4070097"/>
      <w:r>
        <w:t>Analyse de l’environnement</w:t>
      </w:r>
      <w:bookmarkEnd w:id="23"/>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4" w:name="_Toc4070098"/>
      <w:r>
        <w:t>Utilisateurs</w:t>
      </w:r>
      <w:bookmarkEnd w:id="24"/>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5" w:name="_Toc4070099"/>
      <w:r>
        <w:t>Authentification</w:t>
      </w:r>
      <w:bookmarkEnd w:id="25"/>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w:t>
      </w:r>
      <w:r w:rsidR="00431386">
        <w:lastRenderedPageBreak/>
        <w:t>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rsidRPr="001601AA">
        <w:rPr>
          <w:lang w:val="fr-CH"/>
        </w:rPr>
        <w:t>stateless</w:t>
      </w:r>
      <w:proofErr w:type="spellEnd"/>
      <w:r>
        <w:t xml:space="preserve">, un stockage des </w:t>
      </w:r>
      <w:proofErr w:type="spellStart"/>
      <w:r>
        <w:t>tokens</w:t>
      </w:r>
      <w:proofErr w:type="spellEnd"/>
      <w:r>
        <w:t xml:space="preserve">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142C8D" w:rsidRDefault="00142C8D" w:rsidP="00A03949"/>
    <w:p w:rsidR="00142C8D" w:rsidRDefault="00142C8D" w:rsidP="00142C8D">
      <w:pPr>
        <w:pStyle w:val="Titre2"/>
      </w:pPr>
      <w:r>
        <w:t>Gestionnaire d'authentification</w:t>
      </w:r>
    </w:p>
    <w:p w:rsidR="00142C8D" w:rsidRDefault="00142C8D" w:rsidP="00142C8D"/>
    <w:p w:rsidR="00142C8D" w:rsidRDefault="00142C8D" w:rsidP="00142C8D">
      <w:r>
        <w:t>Pour simplifier le processus d'authentification, qui est implémenté sur plusieurs endpoints, il serait préférable d'ajouté un gestionnaire d'authentification qui aurait comme tâche de récupérer les headers HTTP et validé le token envoyé avec les requêtes sur l'application.</w:t>
      </w:r>
    </w:p>
    <w:p w:rsidR="00252B0B" w:rsidRDefault="00252B0B" w:rsidP="00142C8D"/>
    <w:p w:rsidR="00252B0B" w:rsidRPr="00142C8D" w:rsidRDefault="00252B0B" w:rsidP="00142C8D">
      <w:r>
        <w:t>Ce gestionnaire prendrait la forme d'une classe (</w:t>
      </w:r>
      <w:proofErr w:type="spellStart"/>
      <w:r>
        <w:t>AuthenticationManager</w:t>
      </w:r>
      <w:proofErr w:type="spellEnd"/>
      <w:r>
        <w:t>)</w:t>
      </w:r>
    </w:p>
    <w:p w:rsidR="009E1D5C" w:rsidRDefault="009E1D5C" w:rsidP="00A03949"/>
    <w:p w:rsidR="009E1D5C" w:rsidRDefault="009E1D5C" w:rsidP="009E1D5C">
      <w:pPr>
        <w:pStyle w:val="Titre2"/>
      </w:pPr>
      <w:bookmarkStart w:id="26" w:name="_Toc4070100"/>
      <w:r>
        <w:t>Gestion d'erreurs</w:t>
      </w:r>
      <w:bookmarkEnd w:id="26"/>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lastRenderedPageBreak/>
              <w:t>{</w:t>
            </w:r>
          </w:p>
          <w:p w:rsidR="0043539C" w:rsidRDefault="0043539C" w:rsidP="0043539C">
            <w:pPr>
              <w:pStyle w:val="code"/>
            </w:pPr>
            <w:r>
              <w:tab/>
              <w:t>"</w:t>
            </w:r>
            <w:r w:rsidRPr="0043539C">
              <w:rPr>
                <w:lang w:val="en-US"/>
              </w:rPr>
              <w:t>data</w:t>
            </w:r>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r>
              <w:t>":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w:t>
      </w:r>
      <w:proofErr w:type="spellStart"/>
      <w:r>
        <w:t>gestionne</w:t>
      </w:r>
      <w:proofErr w:type="spellEnd"/>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lastRenderedPageBreak/>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 xml:space="preserve">Cette classe d’erreur doit être utilisé lorsqu’un champ ne contient pas le bon format de données, par exemple un email sans ‘@’, ou encore une chaîne de </w:t>
            </w:r>
            <w:proofErr w:type="spellStart"/>
            <w:r>
              <w:t>charactères</w:t>
            </w:r>
            <w:proofErr w:type="spellEnd"/>
            <w:r>
              <w:t xml:space="preserve"> à la place d’un entier</w:t>
            </w:r>
          </w:p>
        </w:tc>
      </w:tr>
    </w:tbl>
    <w:p w:rsidR="007F2151" w:rsidRDefault="007F2151" w:rsidP="00216D12"/>
    <w:p w:rsidR="00787CB8" w:rsidRDefault="00787CB8" w:rsidP="00787CB8">
      <w:pPr>
        <w:pStyle w:val="Titre2"/>
      </w:pPr>
      <w:bookmarkStart w:id="27" w:name="_Toc4070101"/>
      <w:r>
        <w:t>Activités sportives</w:t>
      </w:r>
      <w:bookmarkEnd w:id="27"/>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975152">
        <w:t xml:space="preserve"> </w:t>
      </w:r>
      <w:r>
        <w:t xml:space="preserve">et le sauvegarder en tant qu'activité sportive. </w:t>
      </w:r>
      <w:r w:rsidR="002D4681">
        <w:t>Le fichier sera parser sur le serveur pour calculer certains champs tel que la vitesse moyenne et stocker les positions GPS dans la table des postions.</w:t>
      </w:r>
    </w:p>
    <w:p w:rsidR="00241736" w:rsidRDefault="00241736" w:rsidP="00500360"/>
    <w:p w:rsidR="00500360" w:rsidRPr="00500360" w:rsidRDefault="00500360" w:rsidP="00787CB8">
      <w:pPr>
        <w:pStyle w:val="Titre2"/>
      </w:pPr>
      <w:bookmarkStart w:id="28" w:name="_Toc4070102"/>
      <w:r>
        <w:t>Ressources</w:t>
      </w:r>
      <w:r w:rsidR="00787CB8">
        <w:t xml:space="preserve"> de l'API</w:t>
      </w:r>
      <w:bookmarkEnd w:id="28"/>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9" w:name="_Toc4070103"/>
      <w:r>
        <w:t>Endpoints de l’API</w:t>
      </w:r>
      <w:bookmarkEnd w:id="29"/>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30" w:name="_Toc4070104"/>
      <w:r>
        <w:t>Version des logiciels</w:t>
      </w:r>
      <w:bookmarkEnd w:id="30"/>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31" w:name="_Toc4070105"/>
      <w:r>
        <w:t>Choix du moteur de base de données</w:t>
      </w:r>
      <w:bookmarkEnd w:id="31"/>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w:t>
      </w:r>
      <w:proofErr w:type="spellStart"/>
      <w:r>
        <w:t>MongoDB</w:t>
      </w:r>
      <w:proofErr w:type="spellEnd"/>
      <w:r>
        <w:t>.</w:t>
      </w:r>
    </w:p>
    <w:p w:rsidR="002500A9" w:rsidRDefault="002500A9" w:rsidP="000177F4"/>
    <w:p w:rsidR="005524F2" w:rsidRDefault="005524F2" w:rsidP="008B17B5">
      <w:pPr>
        <w:pStyle w:val="Titre2"/>
      </w:pPr>
      <w:bookmarkStart w:id="32" w:name="_Toc4070106"/>
      <w:r>
        <w:t>Modèle logique des données</w:t>
      </w:r>
      <w:bookmarkEnd w:id="32"/>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lastRenderedPageBreak/>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r>
              <w:rPr>
                <w:lang w:eastAsia="fr-CH"/>
              </w:rPr>
              <w:t>p</w:t>
            </w:r>
            <w:r w:rsidR="000B531D">
              <w:rPr>
                <w:lang w:eastAsia="fr-CH"/>
              </w:rPr>
              <w:t>assword</w:t>
            </w:r>
            <w:proofErr w:type="spell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3" w:name="_Toc4070107"/>
      <w:r>
        <w:t>Interface web d'administration</w:t>
      </w:r>
      <w:bookmarkEnd w:id="33"/>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623F2">
        <w:t>Wireframes</w:t>
      </w:r>
      <w:proofErr w:type="spellEnd"/>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4" w:name="_Toc4070108"/>
      <w:r>
        <w:lastRenderedPageBreak/>
        <w:t>Diagramme</w:t>
      </w:r>
      <w:r w:rsidR="006D7067">
        <w:t>s</w:t>
      </w:r>
      <w:r>
        <w:t xml:space="preserve"> de flux</w:t>
      </w:r>
      <w:bookmarkEnd w:id="34"/>
    </w:p>
    <w:p w:rsidR="00E60E54" w:rsidRDefault="008C49B4" w:rsidP="00E60E54">
      <w:r>
        <w:object w:dxaOrig="12516" w:dyaOrig="8784">
          <v:shape id="_x0000_i1026" type="#_x0000_t75" style="width:570pt;height:402pt" o:ole="">
            <v:imagedata r:id="rId16" o:title=""/>
          </v:shape>
          <o:OLEObject Type="Embed" ProgID="Visio.Drawing.15" ShapeID="_x0000_i1026" DrawAspect="Content" ObjectID="_1614768889" r:id="rId17"/>
        </w:object>
      </w:r>
    </w:p>
    <w:p w:rsidR="00013DE0" w:rsidRDefault="00D94612" w:rsidP="00E60E54">
      <w:r>
        <w:object w:dxaOrig="11304" w:dyaOrig="9624">
          <v:shape id="_x0000_i1027" type="#_x0000_t75" style="width:493.5pt;height:419.25pt" o:ole="">
            <v:imagedata r:id="rId18" o:title=""/>
          </v:shape>
          <o:OLEObject Type="Embed" ProgID="Visio.Drawing.15" ShapeID="_x0000_i1027" DrawAspect="Content" ObjectID="_1614768890" r:id="rId19"/>
        </w:object>
      </w:r>
      <w:bookmarkStart w:id="35" w:name="_Toc71703259"/>
    </w:p>
    <w:p w:rsidR="00013DE0" w:rsidRDefault="00013DE0">
      <w:pPr>
        <w:jc w:val="left"/>
      </w:pPr>
      <w:r>
        <w:br w:type="page"/>
      </w:r>
    </w:p>
    <w:p w:rsidR="00013DE0" w:rsidRDefault="00013DE0">
      <w:pPr>
        <w:jc w:val="left"/>
      </w:pPr>
      <w:r>
        <w:object w:dxaOrig="11536" w:dyaOrig="8731">
          <v:shape id="_x0000_i1046" type="#_x0000_t75" style="width:576.75pt;height:436.5pt" o:ole="">
            <v:imagedata r:id="rId20" o:title=""/>
          </v:shape>
          <o:OLEObject Type="Embed" ProgID="Visio.Drawing.15" ShapeID="_x0000_i1046" DrawAspect="Content" ObjectID="_1614768891" r:id="rId21"/>
        </w:object>
      </w:r>
      <w:r>
        <w:br w:type="page"/>
      </w:r>
    </w:p>
    <w:p w:rsidR="00013DE0" w:rsidRDefault="00013DE0">
      <w:pPr>
        <w:jc w:val="left"/>
      </w:pPr>
      <w:r>
        <w:object w:dxaOrig="11536" w:dyaOrig="8731">
          <v:shape id="_x0000_i1047" type="#_x0000_t75" style="width:576.75pt;height:436.5pt" o:ole="">
            <v:imagedata r:id="rId22" o:title=""/>
          </v:shape>
          <o:OLEObject Type="Embed" ProgID="Visio.Drawing.15" ShapeID="_x0000_i1047" DrawAspect="Content" ObjectID="_1614768892" r:id="rId23"/>
        </w:object>
      </w:r>
      <w:bookmarkStart w:id="36" w:name="_GoBack"/>
      <w:bookmarkEnd w:id="36"/>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7" w:name="_Toc4070109"/>
      <w:r>
        <w:lastRenderedPageBreak/>
        <w:t>Cas d’utilisation</w:t>
      </w:r>
      <w:bookmarkEnd w:id="37"/>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75pt;height:488.25pt" o:ole="">
            <v:imagedata r:id="rId26" o:title=""/>
          </v:shape>
          <o:OLEObject Type="Embed" ProgID="Visio.Drawing.15" ShapeID="_x0000_i1028" DrawAspect="Content" ObjectID="_1614768893"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8" w:name="_Toc4070110"/>
      <w:r w:rsidRPr="0049659A">
        <w:lastRenderedPageBreak/>
        <w:t>R</w:t>
      </w:r>
      <w:bookmarkEnd w:id="35"/>
      <w:r w:rsidR="00684B3D">
        <w:t>éalisation</w:t>
      </w:r>
      <w:bookmarkEnd w:id="38"/>
    </w:p>
    <w:p w:rsidR="00BA27B5" w:rsidRDefault="00BA27B5" w:rsidP="00BA27B5">
      <w:pPr>
        <w:pStyle w:val="Titre2"/>
      </w:pPr>
      <w:bookmarkStart w:id="39" w:name="_Toc4070111"/>
      <w:r>
        <w:t>Configuration serveur</w:t>
      </w:r>
      <w:bookmarkEnd w:id="39"/>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spellStart"/>
            <w:r>
              <w:t>alexandre</w:t>
            </w:r>
            <w:proofErr w:type="spell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43539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w:t>
            </w:r>
            <w:proofErr w:type="spellStart"/>
            <w:r w:rsidRPr="00316C0C">
              <w:rPr>
                <w:lang w:val="de-CH"/>
              </w:rPr>
              <w:t>OpenSSL</w:t>
            </w:r>
            <w:proofErr w:type="spellEnd"/>
            <w:r w:rsidRPr="00316C0C">
              <w:rPr>
                <w:lang w:val="de-CH"/>
              </w:rPr>
              <w:t xml:space="preserve">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ufw</w:t>
            </w:r>
            <w:proofErr w:type="spell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r>
              <w:t>certbot</w:t>
            </w:r>
            <w:proofErr w:type="spell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r w:rsidRPr="00685970">
              <w:t>certbot</w:t>
            </w:r>
            <w:proofErr w:type="spell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proofErr w:type="spellStart"/>
            <w:r w:rsidRPr="00F405BA">
              <w:rPr>
                <w:lang w:val="en-US"/>
              </w:rPr>
              <w:t>ChallengeResponseAuthentication</w:t>
            </w:r>
            <w:proofErr w:type="spellEnd"/>
            <w:r w:rsidRPr="00F405BA">
              <w:rPr>
                <w:lang w:val="en-US"/>
              </w:rPr>
              <w:t xml:space="preserve"> no</w:t>
            </w:r>
          </w:p>
          <w:p w:rsidR="00881E08" w:rsidRPr="00F405BA" w:rsidRDefault="00881E08" w:rsidP="00881E08">
            <w:pPr>
              <w:pStyle w:val="code"/>
              <w:rPr>
                <w:lang w:val="en-US"/>
              </w:rPr>
            </w:pPr>
            <w:proofErr w:type="spellStart"/>
            <w:r w:rsidRPr="00F405BA">
              <w:rPr>
                <w:lang w:val="en-US"/>
              </w:rPr>
              <w:t>PasswordAuthentication</w:t>
            </w:r>
            <w:proofErr w:type="spellEnd"/>
            <w:r w:rsidRPr="00F405BA">
              <w:rPr>
                <w:lang w:val="en-US"/>
              </w:rPr>
              <w:t xml:space="preserve"> no</w:t>
            </w:r>
          </w:p>
          <w:p w:rsidR="00881E08" w:rsidRPr="00F405BA" w:rsidRDefault="00881E08" w:rsidP="00881E08">
            <w:pPr>
              <w:pStyle w:val="code"/>
              <w:rPr>
                <w:lang w:val="en-US"/>
              </w:rPr>
            </w:pPr>
            <w:proofErr w:type="spellStart"/>
            <w:r w:rsidRPr="00F405BA">
              <w:rPr>
                <w:lang w:val="en-US"/>
              </w:rPr>
              <w:t>DenyUsers</w:t>
            </w:r>
            <w:proofErr w:type="spellEnd"/>
            <w:r w:rsidRPr="00F405BA">
              <w:rPr>
                <w:lang w:val="en-US"/>
              </w:rPr>
              <w:t xml:space="preserve"> pi</w:t>
            </w:r>
          </w:p>
          <w:p w:rsidR="00881E08" w:rsidRPr="00881E08" w:rsidRDefault="00881E08" w:rsidP="00881E08">
            <w:pPr>
              <w:pStyle w:val="code"/>
            </w:pPr>
            <w:proofErr w:type="spellStart"/>
            <w:r w:rsidRPr="00881E08">
              <w:t>UsePAM</w:t>
            </w:r>
            <w:proofErr w:type="spellEnd"/>
            <w:r w:rsidRPr="00881E08">
              <w:t xml:space="preserve">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BF0242"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40" w:name="_Hlk2886505"/>
            <w:proofErr w:type="spellStart"/>
            <w:r>
              <w:t>maxretry</w:t>
            </w:r>
            <w:proofErr w:type="spellEnd"/>
            <w:r>
              <w:t xml:space="preserve"> = 10</w:t>
            </w:r>
          </w:p>
        </w:tc>
      </w:tr>
      <w:bookmarkEnd w:id="40"/>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r>
              <w:t>sudo</w:t>
            </w:r>
            <w:proofErr w:type="spell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BF0242"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 xml:space="preserve">omaine à certifier. Il faudra par la suite rendre disponible sur le serveur une chaîne de </w:t>
      </w:r>
      <w:proofErr w:type="spellStart"/>
      <w:r>
        <w:rPr>
          <w:lang w:val="fr-CH"/>
        </w:rPr>
        <w:t>charactère</w:t>
      </w:r>
      <w:proofErr w:type="spellEnd"/>
      <w:r>
        <w:rPr>
          <w:lang w:val="fr-CH"/>
        </w:rPr>
        <w:t xml:space="preserv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BF0242"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BF0242"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BF0242"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41" w:name="_Toc25553317"/>
      <w:bookmarkStart w:id="42" w:name="_Toc71691022"/>
      <w:bookmarkStart w:id="43" w:name="_Toc4070112"/>
      <w:r w:rsidRPr="00791020">
        <w:t>Dossier de réalisation</w:t>
      </w:r>
      <w:bookmarkStart w:id="44" w:name="_Toc25553318"/>
      <w:bookmarkEnd w:id="41"/>
      <w:bookmarkEnd w:id="42"/>
      <w:bookmarkEnd w:id="43"/>
    </w:p>
    <w:p w:rsidR="00BA27B5" w:rsidRPr="00BA27B5" w:rsidRDefault="00BA27B5" w:rsidP="00BA27B5">
      <w:pPr>
        <w:pStyle w:val="Titre4"/>
      </w:pPr>
    </w:p>
    <w:bookmarkEnd w:id="44"/>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5" w:name="_Toc25553321"/>
      <w:bookmarkStart w:id="46" w:name="_Toc71691025"/>
      <w:bookmarkStart w:id="47" w:name="_Toc4070113"/>
      <w:r w:rsidRPr="00791020">
        <w:t>Description des test</w:t>
      </w:r>
      <w:bookmarkEnd w:id="45"/>
      <w:r w:rsidRPr="00791020">
        <w:t>s effectués</w:t>
      </w:r>
      <w:bookmarkEnd w:id="46"/>
      <w:bookmarkEnd w:id="47"/>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8" w:name="_Toc25553322"/>
      <w:bookmarkStart w:id="49" w:name="_Toc71691026"/>
      <w:bookmarkStart w:id="50" w:name="_Toc4070114"/>
      <w:r w:rsidRPr="00791020">
        <w:t xml:space="preserve">Erreurs </w:t>
      </w:r>
      <w:bookmarkEnd w:id="48"/>
      <w:r w:rsidRPr="00791020">
        <w:t>restantes</w:t>
      </w:r>
      <w:bookmarkEnd w:id="49"/>
      <w:bookmarkEnd w:id="50"/>
      <w:r w:rsidRPr="00791020">
        <w:t xml:space="preserve">  </w:t>
      </w:r>
    </w:p>
    <w:p w:rsidR="0049659A" w:rsidRDefault="0049659A" w:rsidP="0049659A">
      <w:pPr>
        <w:ind w:left="426"/>
        <w:rPr>
          <w:i/>
        </w:rPr>
      </w:pPr>
      <w:bookmarkStart w:id="51"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1"/>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52" w:name="_Toc25553326"/>
      <w:bookmarkStart w:id="53" w:name="_Toc71691029"/>
      <w:bookmarkStart w:id="54" w:name="_Toc4070115"/>
      <w:r w:rsidRPr="00791020">
        <w:t>Liste des documents</w:t>
      </w:r>
      <w:bookmarkEnd w:id="52"/>
      <w:r w:rsidRPr="00791020">
        <w:t xml:space="preserve"> fournis</w:t>
      </w:r>
      <w:bookmarkEnd w:id="53"/>
      <w:bookmarkEnd w:id="5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5" w:name="_Toc25553328"/>
      <w:bookmarkStart w:id="56" w:name="_Toc71703263"/>
      <w:bookmarkStart w:id="57" w:name="_Toc4070116"/>
      <w:r w:rsidRPr="0049659A">
        <w:t>C</w:t>
      </w:r>
      <w:bookmarkEnd w:id="55"/>
      <w:bookmarkEnd w:id="56"/>
      <w:r w:rsidR="00684B3D">
        <w:t>onclusions</w:t>
      </w:r>
      <w:bookmarkEnd w:id="5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8" w:name="_Toc71703264"/>
      <w:bookmarkStart w:id="59" w:name="_Toc4070117"/>
      <w:r w:rsidRPr="0049659A">
        <w:lastRenderedPageBreak/>
        <w:t>A</w:t>
      </w:r>
      <w:bookmarkEnd w:id="58"/>
      <w:r w:rsidR="00684B3D">
        <w:t>nnexes</w:t>
      </w:r>
      <w:bookmarkEnd w:id="59"/>
    </w:p>
    <w:p w:rsidR="00281546" w:rsidRDefault="00281546" w:rsidP="00281546"/>
    <w:p w:rsidR="00D97582" w:rsidRPr="00791020" w:rsidRDefault="00D97582" w:rsidP="008B17B5">
      <w:pPr>
        <w:pStyle w:val="Titre2"/>
        <w:rPr>
          <w:i/>
        </w:rPr>
      </w:pPr>
      <w:bookmarkStart w:id="60" w:name="_Toc4070118"/>
      <w:r>
        <w:t>Résumé du rapport du TPI / version succincte de la documentation</w:t>
      </w:r>
      <w:bookmarkEnd w:id="60"/>
    </w:p>
    <w:p w:rsidR="00D97582" w:rsidRPr="00281546" w:rsidRDefault="00D97582" w:rsidP="00281546"/>
    <w:p w:rsidR="00AA0785" w:rsidRPr="00791020" w:rsidRDefault="00AA0785" w:rsidP="008B17B5">
      <w:pPr>
        <w:pStyle w:val="Titre2"/>
        <w:rPr>
          <w:i/>
        </w:rPr>
      </w:pPr>
      <w:bookmarkStart w:id="61" w:name="_Toc71703265"/>
      <w:bookmarkStart w:id="62" w:name="_Toc4070119"/>
      <w:r w:rsidRPr="00791020">
        <w:t>Sources – Bibliographie</w:t>
      </w:r>
      <w:bookmarkEnd w:id="61"/>
      <w:bookmarkEnd w:id="6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63" w:name="_Toc25553330"/>
      <w:bookmarkStart w:id="64" w:name="_Toc71703266"/>
      <w:bookmarkStart w:id="65" w:name="_Toc4070120"/>
      <w:r w:rsidRPr="00791020">
        <w:t xml:space="preserve">Journal de </w:t>
      </w:r>
      <w:bookmarkEnd w:id="63"/>
      <w:bookmarkEnd w:id="64"/>
      <w:r w:rsidR="009D368F">
        <w:t>travail</w:t>
      </w:r>
      <w:bookmarkEnd w:id="65"/>
    </w:p>
    <w:p w:rsidR="00AA0785" w:rsidRDefault="00AA0785" w:rsidP="00AA0785"/>
    <w:p w:rsidR="00AA0785" w:rsidRDefault="00AA0785" w:rsidP="008B17B5">
      <w:pPr>
        <w:pStyle w:val="Titre2"/>
        <w:numPr>
          <w:ilvl w:val="0"/>
          <w:numId w:val="0"/>
        </w:numPr>
      </w:pPr>
      <w:bookmarkStart w:id="66" w:name="_Toc25553331"/>
    </w:p>
    <w:p w:rsidR="00AA0785" w:rsidRPr="00791020" w:rsidRDefault="00AA0785" w:rsidP="008B17B5">
      <w:pPr>
        <w:pStyle w:val="Titre2"/>
        <w:rPr>
          <w:i/>
        </w:rPr>
      </w:pPr>
      <w:bookmarkStart w:id="67" w:name="_Toc71703267"/>
      <w:bookmarkStart w:id="68" w:name="_Toc4070121"/>
      <w:r w:rsidRPr="00791020">
        <w:t>Manuel d'Installation</w:t>
      </w:r>
      <w:bookmarkEnd w:id="66"/>
      <w:bookmarkEnd w:id="67"/>
      <w:bookmarkEnd w:id="68"/>
    </w:p>
    <w:p w:rsidR="00AA0785" w:rsidRPr="009B23AE" w:rsidRDefault="00AA0785" w:rsidP="00AA0785"/>
    <w:p w:rsidR="00AA0785" w:rsidRPr="00791020" w:rsidRDefault="00AA0785" w:rsidP="008B17B5">
      <w:pPr>
        <w:pStyle w:val="Titre2"/>
        <w:rPr>
          <w:i/>
        </w:rPr>
      </w:pPr>
      <w:bookmarkStart w:id="69" w:name="_Toc25553332"/>
      <w:bookmarkStart w:id="70" w:name="_Toc71703268"/>
      <w:bookmarkStart w:id="71" w:name="_Toc4070122"/>
      <w:r w:rsidRPr="00791020">
        <w:t>Manuel d'Utilisation</w:t>
      </w:r>
      <w:bookmarkEnd w:id="69"/>
      <w:bookmarkEnd w:id="70"/>
      <w:bookmarkEnd w:id="71"/>
    </w:p>
    <w:p w:rsidR="00AA0785" w:rsidRPr="009B23AE" w:rsidRDefault="00AA0785" w:rsidP="00AA0785"/>
    <w:p w:rsidR="00AA0785" w:rsidRPr="00791020" w:rsidRDefault="00281546" w:rsidP="008B17B5">
      <w:pPr>
        <w:pStyle w:val="Titre2"/>
        <w:rPr>
          <w:i/>
        </w:rPr>
      </w:pPr>
      <w:bookmarkStart w:id="72" w:name="_Toc71703270"/>
      <w:bookmarkStart w:id="73" w:name="_Toc4070123"/>
      <w:bookmarkStart w:id="74" w:name="_Toc25553334"/>
      <w:r w:rsidRPr="00791020">
        <w:t>A</w:t>
      </w:r>
      <w:r w:rsidR="00AA0785" w:rsidRPr="00791020">
        <w:t>rchives du projet</w:t>
      </w:r>
      <w:bookmarkEnd w:id="72"/>
      <w:bookmarkEnd w:id="73"/>
      <w:r w:rsidR="00AA0785" w:rsidRPr="00791020">
        <w:t xml:space="preserve"> </w:t>
      </w:r>
      <w:bookmarkEnd w:id="7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177" w:rsidRDefault="00A37177">
      <w:r>
        <w:separator/>
      </w:r>
    </w:p>
  </w:endnote>
  <w:endnote w:type="continuationSeparator" w:id="0">
    <w:p w:rsidR="00A37177" w:rsidRDefault="00A3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242" w:rsidRPr="00265744" w:rsidRDefault="00BF0242"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13DE0">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242" w:rsidRPr="00265744" w:rsidRDefault="00BF0242"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13DE0">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242" w:rsidRPr="00265744" w:rsidRDefault="00BF0242"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13DE0">
      <w:rPr>
        <w:rStyle w:val="Numrodepage"/>
        <w:noProof/>
        <w:sz w:val="16"/>
        <w:szCs w:val="16"/>
      </w:rPr>
      <w:t>34</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177" w:rsidRDefault="00A37177">
      <w:r>
        <w:separator/>
      </w:r>
    </w:p>
  </w:footnote>
  <w:footnote w:type="continuationSeparator" w:id="0">
    <w:p w:rsidR="00A37177" w:rsidRDefault="00A37177">
      <w:r>
        <w:continuationSeparator/>
      </w:r>
    </w:p>
  </w:footnote>
  <w:footnote w:id="1">
    <w:p w:rsidR="00BF0242" w:rsidRPr="00BB4C50" w:rsidRDefault="00BF0242">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BF0242" w:rsidRPr="003C2599" w:rsidRDefault="00BF0242">
      <w:pPr>
        <w:pStyle w:val="Notedebasdepage"/>
        <w:rPr>
          <w:lang w:val="fr-CH"/>
        </w:rPr>
      </w:pPr>
      <w:r>
        <w:rPr>
          <w:rStyle w:val="Appelnotedebasdep"/>
        </w:rPr>
        <w:footnoteRef/>
      </w:r>
      <w:r>
        <w:t xml:space="preserve"> </w:t>
      </w:r>
      <w:r>
        <w:rPr>
          <w:lang w:val="fr-CH"/>
        </w:rPr>
        <w:t>Stocké sous forme de hash par exemple</w:t>
      </w:r>
    </w:p>
  </w:footnote>
  <w:footnote w:id="3">
    <w:p w:rsidR="00BF0242" w:rsidRPr="00934791" w:rsidRDefault="00BF0242">
      <w:pPr>
        <w:pStyle w:val="Notedebasdepage"/>
        <w:rPr>
          <w:lang w:val="fr-CH"/>
        </w:rPr>
      </w:pPr>
      <w:r>
        <w:rPr>
          <w:rStyle w:val="Appelnotedebasdep"/>
        </w:rPr>
        <w:footnoteRef/>
      </w:r>
      <w:r>
        <w:t xml:space="preserve"> Pour autant que le téléphone dispose d’un GPS, gyroscope et accéléromètre.</w:t>
      </w:r>
    </w:p>
  </w:footnote>
  <w:footnote w:id="4">
    <w:p w:rsidR="008F3429" w:rsidRPr="008F3429" w:rsidRDefault="008F3429">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242" w:rsidRPr="00F405BA" w:rsidRDefault="00BF0242"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BF0242" w:rsidRPr="00F405BA" w:rsidRDefault="00BF0242">
    <w:pPr>
      <w:pStyle w:val="En-tte"/>
      <w:pBdr>
        <w:bottom w:val="single" w:sz="4" w:space="1" w:color="auto"/>
      </w:pBdr>
      <w:rPr>
        <w:sz w:val="32"/>
        <w:lang w:val="en-US"/>
      </w:rPr>
    </w:pPr>
  </w:p>
  <w:p w:rsidR="00BF0242" w:rsidRPr="00F405BA" w:rsidRDefault="00BF0242">
    <w:pPr>
      <w:pStyle w:val="En-tte"/>
      <w:rPr>
        <w:sz w:val="16"/>
        <w:szCs w:val="16"/>
        <w:lang w:val="en-US"/>
      </w:rPr>
    </w:pPr>
  </w:p>
  <w:p w:rsidR="00BF0242" w:rsidRPr="00F405BA" w:rsidRDefault="00BF0242">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242" w:rsidRPr="00F405BA" w:rsidRDefault="00BF0242"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BF0242" w:rsidRPr="00F405BA" w:rsidRDefault="00BF0242">
    <w:pPr>
      <w:pStyle w:val="En-tte"/>
      <w:pBdr>
        <w:bottom w:val="single" w:sz="4" w:space="1" w:color="auto"/>
      </w:pBdr>
      <w:rPr>
        <w:sz w:val="32"/>
        <w:lang w:val="en-US"/>
      </w:rPr>
    </w:pPr>
  </w:p>
  <w:p w:rsidR="00BF0242" w:rsidRPr="00F405BA" w:rsidRDefault="00BF0242">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242" w:rsidRPr="00F405BA" w:rsidRDefault="00BF0242"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BF0242" w:rsidRPr="00F405BA" w:rsidRDefault="00BF0242">
    <w:pPr>
      <w:pStyle w:val="En-tte"/>
      <w:pBdr>
        <w:bottom w:val="single" w:sz="4" w:space="1" w:color="auto"/>
      </w:pBdr>
      <w:rPr>
        <w:sz w:val="32"/>
        <w:lang w:val="en-US"/>
      </w:rPr>
    </w:pPr>
  </w:p>
  <w:p w:rsidR="00BF0242" w:rsidRPr="00F405BA" w:rsidRDefault="00BF0242">
    <w:pPr>
      <w:pStyle w:val="En-tte"/>
      <w:rPr>
        <w:sz w:val="16"/>
        <w:szCs w:val="16"/>
        <w:lang w:val="en-US"/>
      </w:rPr>
    </w:pPr>
  </w:p>
  <w:p w:rsidR="00BF0242" w:rsidRPr="00F405BA" w:rsidRDefault="00BF024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6144"/>
    <w:rsid w:val="00227312"/>
    <w:rsid w:val="00232E9F"/>
    <w:rsid w:val="0023363C"/>
    <w:rsid w:val="00241736"/>
    <w:rsid w:val="00245601"/>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9A3"/>
    <w:rsid w:val="002F19C4"/>
    <w:rsid w:val="002F39FF"/>
    <w:rsid w:val="002F6201"/>
    <w:rsid w:val="00306D03"/>
    <w:rsid w:val="003144D2"/>
    <w:rsid w:val="00316C0C"/>
    <w:rsid w:val="003245E2"/>
    <w:rsid w:val="00325CF5"/>
    <w:rsid w:val="003359C6"/>
    <w:rsid w:val="003403C2"/>
    <w:rsid w:val="00341FD2"/>
    <w:rsid w:val="003573C1"/>
    <w:rsid w:val="00360243"/>
    <w:rsid w:val="0036352F"/>
    <w:rsid w:val="00371ECE"/>
    <w:rsid w:val="00372202"/>
    <w:rsid w:val="0037420E"/>
    <w:rsid w:val="00377018"/>
    <w:rsid w:val="003915F9"/>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0363E"/>
    <w:rsid w:val="004105EE"/>
    <w:rsid w:val="00416F8D"/>
    <w:rsid w:val="0041736D"/>
    <w:rsid w:val="00422FAF"/>
    <w:rsid w:val="00431386"/>
    <w:rsid w:val="0043539C"/>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65BF"/>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167A"/>
    <w:rsid w:val="007C2391"/>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5DA2"/>
    <w:rsid w:val="008A48E1"/>
    <w:rsid w:val="008B17B5"/>
    <w:rsid w:val="008B2249"/>
    <w:rsid w:val="008C49B4"/>
    <w:rsid w:val="008C57FF"/>
    <w:rsid w:val="008C768C"/>
    <w:rsid w:val="008D0345"/>
    <w:rsid w:val="008D24B7"/>
    <w:rsid w:val="008D7200"/>
    <w:rsid w:val="008E0B66"/>
    <w:rsid w:val="008E5151"/>
    <w:rsid w:val="008E54AB"/>
    <w:rsid w:val="008E7CDD"/>
    <w:rsid w:val="008F0C86"/>
    <w:rsid w:val="008F255B"/>
    <w:rsid w:val="008F3429"/>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535"/>
    <w:rsid w:val="00BD0ACF"/>
    <w:rsid w:val="00BD1157"/>
    <w:rsid w:val="00BE06F6"/>
    <w:rsid w:val="00BE0B16"/>
    <w:rsid w:val="00BE5952"/>
    <w:rsid w:val="00BE7559"/>
    <w:rsid w:val="00BF024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4612"/>
    <w:rsid w:val="00D97582"/>
    <w:rsid w:val="00D977AD"/>
    <w:rsid w:val="00DA2E17"/>
    <w:rsid w:val="00DA4CCB"/>
    <w:rsid w:val="00DB4900"/>
    <w:rsid w:val="00DE0879"/>
    <w:rsid w:val="00DE1E68"/>
    <w:rsid w:val="00DE61F8"/>
    <w:rsid w:val="00DF4426"/>
    <w:rsid w:val="00E04916"/>
    <w:rsid w:val="00E12330"/>
    <w:rsid w:val="00E215F5"/>
    <w:rsid w:val="00E22E60"/>
    <w:rsid w:val="00E261DC"/>
    <w:rsid w:val="00E26690"/>
    <w:rsid w:val="00E31C68"/>
    <w:rsid w:val="00E454B1"/>
    <w:rsid w:val="00E45996"/>
    <w:rsid w:val="00E463FB"/>
    <w:rsid w:val="00E60E54"/>
    <w:rsid w:val="00E61EAD"/>
    <w:rsid w:val="00E63311"/>
    <w:rsid w:val="00E73539"/>
    <w:rsid w:val="00E773E4"/>
    <w:rsid w:val="00E868E7"/>
    <w:rsid w:val="00EA22CB"/>
    <w:rsid w:val="00EB4E1A"/>
    <w:rsid w:val="00EC1EF8"/>
    <w:rsid w:val="00ED145D"/>
    <w:rsid w:val="00ED3EC3"/>
    <w:rsid w:val="00ED4A88"/>
    <w:rsid w:val="00EE1D3A"/>
    <w:rsid w:val="00EE2488"/>
    <w:rsid w:val="00EE34A7"/>
    <w:rsid w:val="00EE3621"/>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C784D"/>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A59B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B167F-AC56-47A3-8F6D-7625D0E5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36</Pages>
  <Words>5424</Words>
  <Characters>29833</Characters>
  <Application>Microsoft Office Word</Application>
  <DocSecurity>0</DocSecurity>
  <Lines>248</Lines>
  <Paragraphs>70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35187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1451</cp:revision>
  <cp:lastPrinted>2004-09-01T12:58:00Z</cp:lastPrinted>
  <dcterms:created xsi:type="dcterms:W3CDTF">2019-02-08T13:46:00Z</dcterms:created>
  <dcterms:modified xsi:type="dcterms:W3CDTF">2019-03-22T13:08:00Z</dcterms:modified>
</cp:coreProperties>
</file>