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Diffusion MRI — Technical Validation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QC item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BIDS consistency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NIfTI integrity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b-values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b-vectors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JSON metadata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Gradient orientation</w:t>
            </w:r>
          </w:p>
        </w:tc>
        <w:tc>
          <w:tcPr>
            <w:tcW w:type="dxa" w:w="4320"/>
          </w:tcPr>
          <w:p>
            <w:r>
              <w:t>PASS*</w:t>
            </w:r>
          </w:p>
        </w:tc>
      </w:tr>
      <w:tr>
        <w:tc>
          <w:tcPr>
            <w:tcW w:type="dxa" w:w="4320"/>
          </w:tcPr>
          <w:p>
            <w:r>
              <w:t>Brain mask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Signal quality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Motion estimates</w:t>
            </w:r>
          </w:p>
        </w:tc>
        <w:tc>
          <w:tcPr>
            <w:tcW w:type="dxa" w:w="4320"/>
          </w:tcPr>
          <w:p>
            <w:r>
              <w:t>N.A.</w:t>
            </w:r>
          </w:p>
        </w:tc>
      </w:tr>
      <w:tr>
        <w:tc>
          <w:tcPr>
            <w:tcW w:type="dxa" w:w="4320"/>
          </w:tcPr>
          <w:p>
            <w:r>
              <w:t>Susceptibility pairs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Visual inspection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Overall technical validation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