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unctional-paradigm-summary"/>
    <w:p>
      <w:pPr>
        <w:pStyle w:val="Heading1"/>
      </w:pPr>
      <w:r>
        <w:t xml:space="preserve">Functional paradigm summary</w:t>
      </w:r>
    </w:p>
    <w:p>
      <w:pPr>
        <w:pStyle w:val="FirstParagraph"/>
      </w:pPr>
      <w:r>
        <w:t xml:space="preserve">Functional MRI paradigm summary. All BOLD runs share TR 937 ms, TE 37 ms, flip angle 52°, 2 mm isotropic voxels, and multiband acceleration factor 8. Durations are approximate (volumes × TR). Stimulation was monocular; the non-stimulated eye was occluded.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BIDS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Fixation-only monocular resting-state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Naturalistic movie segments with fixation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task-fmri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Block-design grating/checkerboard stimulation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control EPI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2026-07-23T19:38:08Z</dcterms:created>
  <dcterms:modified xsi:type="dcterms:W3CDTF">2026-07-23T19:38:08Z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