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ovie-run-eye-assignment"/>
    <w:p>
      <w:pPr>
        <w:pStyle w:val="Heading1"/>
      </w:pPr>
      <w:r>
        <w:t xml:space="preserve">Movie run eye assignment</w:t>
      </w:r>
    </w:p>
    <w:p>
      <w:pPr>
        <w:pStyle w:val="FirstParagraph"/>
      </w:pPr>
      <w:r>
        <w:t xml:space="preserve">Monocular movie-run assignment for</w:t>
      </w:r>
      <w:r>
        <w:t xml:space="preserve"> </w:t>
      </w:r>
      <w:r>
        <w:rPr>
          <w:rStyle w:val="VerbatimChar"/>
        </w:rPr>
        <w:t xml:space="preserve">task-movie</w:t>
      </w:r>
      <w:r>
        <w:t xml:space="preserve">. Each run presented one movie segment with a fixation overlay. Left- or right-eye stimulation was assigned by run; the contralateral eye was occluded. Stimulus timing files are not included in the public release.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BIDS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Movie 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Stimulated eye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 (min)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Movie1A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Movie2A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Movie1B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Movie2B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</w:tr>
    </w:tbl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2026-07-23T19:38:11Z</dcterms:created>
  <dcterms:modified xsi:type="dcterms:W3CDTF">2026-07-23T19:38:11Z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