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ri-acquisition-parameters"/>
    <w:p>
      <w:pPr>
        <w:pStyle w:val="Heading1"/>
      </w:pPr>
      <w:r>
        <w:t xml:space="preserve">MRI acquisition parameters</w:t>
      </w:r>
    </w:p>
    <w:p>
      <w:pPr>
        <w:pStyle w:val="FirstParagraph"/>
      </w:pPr>
      <w:r>
        <w:t xml:space="preserve">MRI acquisition parameters. Siemens Prisma, 3 T (syngo MR E11 / XA30; HeadNeck_64). Parameters from BIDS JSON sidecars. Localizers, SBRef, physiological logs and derived diffusion maps omitted. Reverse-PE b0 not present in released BIDS DWI; EPI distortion correction uses spin-echo field maps.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BIDS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Anatomical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T1-weighted MPRAGE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T1w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2500 ms; TE 2.2 ms; Flip angle 8°; 0.8×0.8×0.8 mm; in-plane accel.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Anatomical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White-matter-nulled MPRAGE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T1w (WMn)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4000 ms; TE 3.8 ms; Flip angle 7°; 1×1×1 mm; in-plane accel.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Anatomical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FLAIR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6000 ms; TE 357 ms; Flip angle 120°; 0.8×0.8×0.8 mm; in-plane accel.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Spin-echo EPI (AP/PA)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dir-AP/PA_epi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9710 ms; TE 66 ms; Flip angle 90°; 2 mm isotropic; PE AP/PA; TotalReadoutTime 0.0597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Resting-state fMRI (1 run)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task-rest_bold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937 ms; TE 37 ms; Flip angle 52°; 2×2×2 mm; MB 8; 320 volumes; PE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fMRI (4 runs)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task-movie_bold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937 ms; TE 37 ms; Flip angle 52°; 2×2×2 mm; MB 8; 210 volumes; PE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fMRI (4 runs)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task-fmri_bold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937 ms; TE 37 ms; Flip angle 52°; 2×2×2 mm; MB 8; 226 volumes; PE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fMRI (3 runs)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task-control_bold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937 ms; TE 37 ms; Flip angle 52°; 2×2×2 mm; MB 8; 20 volumes; PE AP/PA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Multidirection DWI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3500 ms; TE 75 ms; Flip angle 90°; 1 mm isotropic (protocol); MB 2; in-plane accel. 3; b = 0/1000/2000 s/mm²; ~365 directions; 20 b0; PE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trace DWI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dwi (RESOLVE)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4140 ms; TE 51 ms; Flip angle 180°; ≈1.4 mm; in-plane accel. 3; b = 0/1000 s/mm²; 11 directions; 4 b0; PE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 map (turbo flash)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TB1TFL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 4000 ms; TE 1.8 ms; Flip angle 8°; 3.438×3.438×10 mm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2026-07-23T17:40:22Z</dcterms:created>
  <dcterms:modified xsi:type="dcterms:W3CDTF">2026-07-23T17:40:22Z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