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525FF"/>
          <w:spacing w:val="300"/>
          <w:sz w:val="20"/>
          <w:szCs w:val="20"/>
        </w:rPr>
        <w:t xml:space="preserve">OPEN CLIMATE RISK</w:t>
      </w:r>
    </w:p>
    <w:p>
      <w:pPr>
        <w:spacing w:after="100"/>
        <w:jc w:val="center"/>
      </w:pPr>
      <w:r>
        <w:rPr>
          <w:rFonts w:ascii="Calibri Light" w:cs="Calibri Light" w:eastAsia="Calibri Light" w:hAnsi="Calibri Light"/>
          <w:color w:val="18181B"/>
          <w:sz w:val="56"/>
          <w:szCs w:val="56"/>
        </w:rPr>
        <w:t xml:space="preserve">Website Documentation</w:t>
      </w:r>
    </w:p>
    <w:p>
      <w:pPr>
        <w:spacing w:after="600"/>
        <w:jc w:val="center"/>
      </w:pPr>
      <w:r>
        <w:rPr>
          <w:rFonts w:ascii="Calibri Light" w:cs="Calibri Light" w:eastAsia="Calibri Light" w:hAnsi="Calibri Light"/>
          <w:color w:val="71717A"/>
          <w:sz w:val="28"/>
          <w:szCs w:val="28"/>
        </w:rPr>
        <w:t xml:space="preserve">Architecture, Visual Design &amp; Page Structure</w:t>
      </w:r>
    </w:p>
    <w:p>
      <w:pPr>
        <w:pBdr>
          <w:top w:val="single" w:color="2525FF" w:sz="2" w:space="16"/>
        </w:pBdr>
        <w:spacing w:before="400"/>
        <w:jc w:val="center"/>
      </w:pPr>
      <w:r>
        <w:rPr>
          <w:rFonts w:ascii="Calibri" w:cs="Calibri" w:eastAsia="Calibri" w:hAnsi="Calibri"/>
          <w:color w:val="71717A"/>
          <w:sz w:val="22"/>
          <w:szCs w:val="22"/>
        </w:rPr>
        <w:t xml:space="preserve">Version 1.0  |  March 2026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2525FF"/>
          <w:sz w:val="20"/>
          <w:szCs w:val="20"/>
        </w:rPr>
        <w:t xml:space="preserve">http://localhost:8080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400"/>
      </w:pPr>
      <w:r>
        <w:rPr>
          <w:rFonts w:ascii="Calibri Light" w:cs="Calibri Light" w:eastAsia="Calibri Light" w:hAnsi="Calibri Light"/>
          <w:color w:val="18181B"/>
          <w:sz w:val="40"/>
          <w:szCs w:val="40"/>
        </w:rPr>
        <w:t xml:space="preserve">Table of Contents</w:t>
      </w:r>
    </w:p>
    <w:p>
      <w:pPr>
        <w:pBdr>
          <w:bottom w:val="dotted" w:color="E4E4E7" w:sz="1" w:space="4"/>
        </w:pBdr>
        <w:spacing w:after="160"/>
      </w:pPr>
      <w:r>
        <w:rPr>
          <w:rFonts w:ascii="Calibri" w:cs="Calibri" w:eastAsia="Calibri" w:hAnsi="Calibri"/>
          <w:b/>
          <w:bCs/>
          <w:color w:val="2525FF"/>
          <w:sz w:val="22"/>
          <w:szCs w:val="22"/>
        </w:rPr>
        <w:t xml:space="preserve">1.  </w:t>
      </w:r>
      <w:r>
        <w:rPr>
          <w:rFonts w:ascii="Calibri" w:cs="Calibri" w:eastAsia="Calibri" w:hAnsi="Calibri"/>
          <w:color w:val="18181B"/>
          <w:sz w:val="22"/>
          <w:szCs w:val="22"/>
        </w:rPr>
        <w:t xml:space="preserve">Overview</w:t>
      </w:r>
    </w:p>
    <w:p>
      <w:pPr>
        <w:pBdr>
          <w:bottom w:val="dotted" w:color="E4E4E7" w:sz="1" w:space="4"/>
        </w:pBdr>
        <w:spacing w:after="160"/>
      </w:pPr>
      <w:r>
        <w:rPr>
          <w:rFonts w:ascii="Calibri" w:cs="Calibri" w:eastAsia="Calibri" w:hAnsi="Calibri"/>
          <w:b/>
          <w:bCs/>
          <w:color w:val="2525FF"/>
          <w:sz w:val="22"/>
          <w:szCs w:val="22"/>
        </w:rPr>
        <w:t xml:space="preserve">2.  </w:t>
      </w:r>
      <w:r>
        <w:rPr>
          <w:rFonts w:ascii="Calibri" w:cs="Calibri" w:eastAsia="Calibri" w:hAnsi="Calibri"/>
          <w:color w:val="18181B"/>
          <w:sz w:val="22"/>
          <w:szCs w:val="22"/>
        </w:rPr>
        <w:t xml:space="preserve">Technical Specifications</w:t>
      </w:r>
    </w:p>
    <w:p>
      <w:pPr>
        <w:pBdr>
          <w:bottom w:val="dotted" w:color="E4E4E7" w:sz="1" w:space="4"/>
        </w:pBdr>
        <w:spacing w:after="160"/>
      </w:pPr>
      <w:r>
        <w:rPr>
          <w:rFonts w:ascii="Calibri" w:cs="Calibri" w:eastAsia="Calibri" w:hAnsi="Calibri"/>
          <w:b/>
          <w:bCs/>
          <w:color w:val="2525FF"/>
          <w:sz w:val="22"/>
          <w:szCs w:val="22"/>
        </w:rPr>
        <w:t xml:space="preserve">3.  </w:t>
      </w:r>
      <w:r>
        <w:rPr>
          <w:rFonts w:ascii="Calibri" w:cs="Calibri" w:eastAsia="Calibri" w:hAnsi="Calibri"/>
          <w:color w:val="18181B"/>
          <w:sz w:val="22"/>
          <w:szCs w:val="22"/>
        </w:rPr>
        <w:t xml:space="preserve">Site Map &amp; Information Architecture</w:t>
      </w:r>
    </w:p>
    <w:p>
      <w:pPr>
        <w:pBdr>
          <w:bottom w:val="dotted" w:color="E4E4E7" w:sz="1" w:space="4"/>
        </w:pBdr>
        <w:spacing w:after="160"/>
      </w:pPr>
      <w:r>
        <w:rPr>
          <w:rFonts w:ascii="Calibri" w:cs="Calibri" w:eastAsia="Calibri" w:hAnsi="Calibri"/>
          <w:b/>
          <w:bCs/>
          <w:color w:val="2525FF"/>
          <w:sz w:val="22"/>
          <w:szCs w:val="22"/>
        </w:rPr>
        <w:t xml:space="preserve">4.  </w:t>
      </w:r>
      <w:r>
        <w:rPr>
          <w:rFonts w:ascii="Calibri" w:cs="Calibri" w:eastAsia="Calibri" w:hAnsi="Calibri"/>
          <w:color w:val="18181B"/>
          <w:sz w:val="22"/>
          <w:szCs w:val="22"/>
        </w:rPr>
        <w:t xml:space="preserve">Section 1 — Hero</w:t>
      </w:r>
    </w:p>
    <w:p>
      <w:pPr>
        <w:pBdr>
          <w:bottom w:val="dotted" w:color="E4E4E7" w:sz="1" w:space="4"/>
        </w:pBdr>
        <w:spacing w:after="160"/>
      </w:pPr>
      <w:r>
        <w:rPr>
          <w:rFonts w:ascii="Calibri" w:cs="Calibri" w:eastAsia="Calibri" w:hAnsi="Calibri"/>
          <w:b/>
          <w:bCs/>
          <w:color w:val="2525FF"/>
          <w:sz w:val="22"/>
          <w:szCs w:val="22"/>
        </w:rPr>
        <w:t xml:space="preserve">5.  </w:t>
      </w:r>
      <w:r>
        <w:rPr>
          <w:rFonts w:ascii="Calibri" w:cs="Calibri" w:eastAsia="Calibri" w:hAnsi="Calibri"/>
          <w:color w:val="18181B"/>
          <w:sz w:val="22"/>
          <w:szCs w:val="22"/>
        </w:rPr>
        <w:t xml:space="preserve">Section 2 — Key Metrics</w:t>
      </w:r>
    </w:p>
    <w:p>
      <w:pPr>
        <w:pBdr>
          <w:bottom w:val="dotted" w:color="E4E4E7" w:sz="1" w:space="4"/>
        </w:pBdr>
        <w:spacing w:after="160"/>
      </w:pPr>
      <w:r>
        <w:rPr>
          <w:rFonts w:ascii="Calibri" w:cs="Calibri" w:eastAsia="Calibri" w:hAnsi="Calibri"/>
          <w:b/>
          <w:bCs/>
          <w:color w:val="2525FF"/>
          <w:sz w:val="22"/>
          <w:szCs w:val="22"/>
        </w:rPr>
        <w:t xml:space="preserve">6.  </w:t>
      </w:r>
      <w:r>
        <w:rPr>
          <w:rFonts w:ascii="Calibri" w:cs="Calibri" w:eastAsia="Calibri" w:hAnsi="Calibri"/>
          <w:color w:val="18181B"/>
          <w:sz w:val="22"/>
          <w:szCs w:val="22"/>
        </w:rPr>
        <w:t xml:space="preserve">Section 3 — Features</w:t>
      </w:r>
    </w:p>
    <w:p>
      <w:pPr>
        <w:pBdr>
          <w:bottom w:val="dotted" w:color="E4E4E7" w:sz="1" w:space="4"/>
        </w:pBdr>
        <w:spacing w:after="160"/>
      </w:pPr>
      <w:r>
        <w:rPr>
          <w:rFonts w:ascii="Calibri" w:cs="Calibri" w:eastAsia="Calibri" w:hAnsi="Calibri"/>
          <w:b/>
          <w:bCs/>
          <w:color w:val="2525FF"/>
          <w:sz w:val="22"/>
          <w:szCs w:val="22"/>
        </w:rPr>
        <w:t xml:space="preserve">7.  </w:t>
      </w:r>
      <w:r>
        <w:rPr>
          <w:rFonts w:ascii="Calibri" w:cs="Calibri" w:eastAsia="Calibri" w:hAnsi="Calibri"/>
          <w:color w:val="18181B"/>
          <w:sz w:val="22"/>
          <w:szCs w:val="22"/>
        </w:rPr>
        <w:t xml:space="preserve">Section 4 — Pipeline</w:t>
      </w:r>
    </w:p>
    <w:p>
      <w:pPr>
        <w:pBdr>
          <w:bottom w:val="dotted" w:color="E4E4E7" w:sz="1" w:space="4"/>
        </w:pBdr>
        <w:spacing w:after="160"/>
      </w:pPr>
      <w:r>
        <w:rPr>
          <w:rFonts w:ascii="Calibri" w:cs="Calibri" w:eastAsia="Calibri" w:hAnsi="Calibri"/>
          <w:b/>
          <w:bCs/>
          <w:color w:val="2525FF"/>
          <w:sz w:val="22"/>
          <w:szCs w:val="22"/>
        </w:rPr>
        <w:t xml:space="preserve">8.  </w:t>
      </w:r>
      <w:r>
        <w:rPr>
          <w:rFonts w:ascii="Calibri" w:cs="Calibri" w:eastAsia="Calibri" w:hAnsi="Calibri"/>
          <w:color w:val="18181B"/>
          <w:sz w:val="22"/>
          <w:szCs w:val="22"/>
        </w:rPr>
        <w:t xml:space="preserve">Section 5 — Architecture</w:t>
      </w:r>
    </w:p>
    <w:p>
      <w:pPr>
        <w:pBdr>
          <w:bottom w:val="dotted" w:color="E4E4E7" w:sz="1" w:space="4"/>
        </w:pBdr>
        <w:spacing w:after="160"/>
      </w:pPr>
      <w:r>
        <w:rPr>
          <w:rFonts w:ascii="Calibri" w:cs="Calibri" w:eastAsia="Calibri" w:hAnsi="Calibri"/>
          <w:b/>
          <w:bCs/>
          <w:color w:val="2525FF"/>
          <w:sz w:val="22"/>
          <w:szCs w:val="22"/>
        </w:rPr>
        <w:t xml:space="preserve">9.  </w:t>
      </w:r>
      <w:r>
        <w:rPr>
          <w:rFonts w:ascii="Calibri" w:cs="Calibri" w:eastAsia="Calibri" w:hAnsi="Calibri"/>
          <w:color w:val="18181B"/>
          <w:sz w:val="22"/>
          <w:szCs w:val="22"/>
        </w:rPr>
        <w:t xml:space="preserve">Section 6 — Data Sources</w:t>
      </w:r>
    </w:p>
    <w:p>
      <w:pPr>
        <w:pBdr>
          <w:bottom w:val="dotted" w:color="E4E4E7" w:sz="1" w:space="4"/>
        </w:pBdr>
        <w:spacing w:after="160"/>
      </w:pPr>
      <w:r>
        <w:rPr>
          <w:rFonts w:ascii="Calibri" w:cs="Calibri" w:eastAsia="Calibri" w:hAnsi="Calibri"/>
          <w:b/>
          <w:bCs/>
          <w:color w:val="2525FF"/>
          <w:sz w:val="22"/>
          <w:szCs w:val="22"/>
        </w:rPr>
        <w:t xml:space="preserve">10.  </w:t>
      </w:r>
      <w:r>
        <w:rPr>
          <w:rFonts w:ascii="Calibri" w:cs="Calibri" w:eastAsia="Calibri" w:hAnsi="Calibri"/>
          <w:color w:val="18181B"/>
          <w:sz w:val="22"/>
          <w:szCs w:val="22"/>
        </w:rPr>
        <w:t xml:space="preserve">Section 7 — Hazard Modules</w:t>
      </w:r>
    </w:p>
    <w:p>
      <w:pPr>
        <w:pBdr>
          <w:bottom w:val="dotted" w:color="E4E4E7" w:sz="1" w:space="4"/>
        </w:pBdr>
        <w:spacing w:after="160"/>
      </w:pPr>
      <w:r>
        <w:rPr>
          <w:rFonts w:ascii="Calibri" w:cs="Calibri" w:eastAsia="Calibri" w:hAnsi="Calibri"/>
          <w:b/>
          <w:bCs/>
          <w:color w:val="2525FF"/>
          <w:sz w:val="22"/>
          <w:szCs w:val="22"/>
        </w:rPr>
        <w:t xml:space="preserve">11.  </w:t>
      </w:r>
      <w:r>
        <w:rPr>
          <w:rFonts w:ascii="Calibri" w:cs="Calibri" w:eastAsia="Calibri" w:hAnsi="Calibri"/>
          <w:color w:val="18181B"/>
          <w:sz w:val="22"/>
          <w:szCs w:val="22"/>
        </w:rPr>
        <w:t xml:space="preserve">Section 8 — Roadmap</w:t>
      </w:r>
    </w:p>
    <w:p>
      <w:pPr>
        <w:pBdr>
          <w:bottom w:val="dotted" w:color="E4E4E7" w:sz="1" w:space="4"/>
        </w:pBdr>
        <w:spacing w:after="160"/>
      </w:pPr>
      <w:r>
        <w:rPr>
          <w:rFonts w:ascii="Calibri" w:cs="Calibri" w:eastAsia="Calibri" w:hAnsi="Calibri"/>
          <w:b/>
          <w:bCs/>
          <w:color w:val="2525FF"/>
          <w:sz w:val="22"/>
          <w:szCs w:val="22"/>
        </w:rPr>
        <w:t xml:space="preserve">12.  </w:t>
      </w:r>
      <w:r>
        <w:rPr>
          <w:rFonts w:ascii="Calibri" w:cs="Calibri" w:eastAsia="Calibri" w:hAnsi="Calibri"/>
          <w:color w:val="18181B"/>
          <w:sz w:val="22"/>
          <w:szCs w:val="22"/>
        </w:rPr>
        <w:t xml:space="preserve">Section 9 — References</w:t>
      </w:r>
    </w:p>
    <w:p>
      <w:pPr>
        <w:pBdr>
          <w:bottom w:val="dotted" w:color="E4E4E7" w:sz="1" w:space="4"/>
        </w:pBdr>
        <w:spacing w:after="160"/>
      </w:pPr>
      <w:r>
        <w:rPr>
          <w:rFonts w:ascii="Calibri" w:cs="Calibri" w:eastAsia="Calibri" w:hAnsi="Calibri"/>
          <w:b/>
          <w:bCs/>
          <w:color w:val="2525FF"/>
          <w:sz w:val="22"/>
          <w:szCs w:val="22"/>
        </w:rPr>
        <w:t xml:space="preserve">13.  </w:t>
      </w:r>
      <w:r>
        <w:rPr>
          <w:rFonts w:ascii="Calibri" w:cs="Calibri" w:eastAsia="Calibri" w:hAnsi="Calibri"/>
          <w:color w:val="18181B"/>
          <w:sz w:val="22"/>
          <w:szCs w:val="22"/>
        </w:rPr>
        <w:t xml:space="preserve">Section 10 — Call to Action &amp; Footer</w:t>
      </w:r>
    </w:p>
    <w:p>
      <w:pPr>
        <w:pBdr>
          <w:bottom w:val="dotted" w:color="E4E4E7" w:sz="1" w:space="4"/>
        </w:pBdr>
        <w:spacing w:after="160"/>
      </w:pPr>
      <w:r>
        <w:rPr>
          <w:rFonts w:ascii="Calibri" w:cs="Calibri" w:eastAsia="Calibri" w:hAnsi="Calibri"/>
          <w:b/>
          <w:bCs/>
          <w:color w:val="2525FF"/>
          <w:sz w:val="22"/>
          <w:szCs w:val="22"/>
        </w:rPr>
        <w:t xml:space="preserve">14.  </w:t>
      </w:r>
      <w:r>
        <w:rPr>
          <w:rFonts w:ascii="Calibri" w:cs="Calibri" w:eastAsia="Calibri" w:hAnsi="Calibri"/>
          <w:color w:val="18181B"/>
          <w:sz w:val="22"/>
          <w:szCs w:val="22"/>
        </w:rPr>
        <w:t xml:space="preserve">Design System</w:t>
      </w:r>
    </w:p>
    <w:p>
      <w:pPr>
        <w:sectPr>
          <w:headerReference w:type="default" r:id="rId7"/>
          <w:footerReference w:type="default" r:id="rId8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2525FF"/>
          <w:sz w:val="36"/>
          <w:szCs w:val="36"/>
        </w:rPr>
        <w:t xml:space="preserve">1. </w:t>
      </w:r>
      <w:r>
        <w:rPr>
          <w:rFonts w:ascii="Calibri" w:cs="Calibri" w:eastAsia="Calibri" w:hAnsi="Calibri"/>
          <w:b/>
          <w:bCs/>
          <w:color w:val="18181B"/>
          <w:sz w:val="36"/>
          <w:szCs w:val="36"/>
        </w:rPr>
        <w:t xml:space="preserve">Overview</w:t>
      </w:r>
    </w:p>
    <w:p>
      <w:pPr>
        <w:spacing w:after="160"/>
      </w:pPr>
      <w:r>
        <w:rPr>
          <w:rFonts w:ascii="Calibri" w:cs="Calibri" w:eastAsia="Calibri" w:hAnsi="Calibri"/>
          <w:color w:val="71717A"/>
          <w:sz w:val="22"/>
          <w:szCs w:val="22"/>
        </w:rPr>
        <w:t xml:space="preserve">This document provides a comprehensive overview of the Open Climate Risk Platform website. It details the visual design, page architecture, section structure, and design system used throughout the site.</w:t>
      </w:r>
    </w:p>
    <w:p>
      <w:pPr>
        <w:spacing w:after="160"/>
      </w:pPr>
      <w:r>
        <w:rPr>
          <w:rFonts w:ascii="Calibri" w:cs="Calibri" w:eastAsia="Calibri" w:hAnsi="Calibri"/>
          <w:color w:val="71717A"/>
          <w:sz w:val="22"/>
          <w:szCs w:val="22"/>
        </w:rPr>
        <w:t xml:space="preserve">The website is a single-page application (SPA) built with vanilla HTML, CSS, and JavaScript. It presents the Open Climate Risk Platform — an open-source Python toolkit for physical climate risk screening using public datasets.</w:t>
      </w:r>
    </w:p>
    <w:p>
      <w:pPr>
        <w:spacing w:after="100"/>
      </w:pPr>
    </w:p>
    <w:p>
      <w:pPr>
        <w:pStyle w:val="Heading2"/>
      </w:pPr>
      <w:r>
        <w:rPr>
          <w:rFonts w:ascii="Calibri" w:cs="Calibri" w:eastAsia="Calibri" w:hAnsi="Calibri"/>
          <w:b/>
          <w:bCs/>
          <w:color w:val="18181B"/>
          <w:sz w:val="28"/>
          <w:szCs w:val="28"/>
        </w:rPr>
        <w:t xml:space="preserve">Purpose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71717A"/>
          <w:sz w:val="22"/>
          <w:szCs w:val="22"/>
        </w:rPr>
        <w:t xml:space="preserve">Present the project value proposition and capabilities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71717A"/>
          <w:sz w:val="22"/>
          <w:szCs w:val="22"/>
        </w:rPr>
        <w:t xml:space="preserve">Explain the 4-stage risk computation pipeline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71717A"/>
          <w:sz w:val="22"/>
          <w:szCs w:val="22"/>
        </w:rPr>
        <w:t xml:space="preserve">Document the modular Python package architecture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71717A"/>
          <w:sz w:val="22"/>
          <w:szCs w:val="22"/>
        </w:rPr>
        <w:t xml:space="preserve">Showcase multi-hazard coverage and roadmap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71717A"/>
          <w:sz w:val="22"/>
          <w:szCs w:val="22"/>
        </w:rPr>
        <w:t xml:space="preserve">Provide scientific references and credibility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71717A"/>
          <w:sz w:val="22"/>
          <w:szCs w:val="22"/>
        </w:rPr>
        <w:t xml:space="preserve">Drive users to the GitHub repository for installation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2525FF"/>
          <w:sz w:val="36"/>
          <w:szCs w:val="36"/>
        </w:rPr>
        <w:t xml:space="preserve">2. </w:t>
      </w:r>
      <w:r>
        <w:rPr>
          <w:rFonts w:ascii="Calibri" w:cs="Calibri" w:eastAsia="Calibri" w:hAnsi="Calibri"/>
          <w:b/>
          <w:bCs/>
          <w:color w:val="18181B"/>
          <w:sz w:val="36"/>
          <w:szCs w:val="36"/>
        </w:rPr>
        <w:t xml:space="preserve">Technical Specifications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18181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1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18181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2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8181B"/>
                <w:sz w:val="20"/>
                <w:szCs w:val="20"/>
              </w:rPr>
              <w:t xml:space="preserve">Type</w:t>
            </w:r>
          </w:p>
        </w:tc>
        <w:tc>
          <w:tcPr>
            <w:tcW w:type="dxa" w:w="61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71717A"/>
                <w:sz w:val="20"/>
                <w:szCs w:val="20"/>
              </w:rPr>
              <w:t xml:space="preserve">Single-page static website</w:t>
            </w:r>
          </w:p>
        </w:tc>
      </w:tr>
      <w:tr>
        <w:tc>
          <w:tcPr>
            <w:tcW w:type="dxa" w:w="32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8181B"/>
                <w:sz w:val="20"/>
                <w:szCs w:val="20"/>
              </w:rPr>
              <w:t xml:space="preserve">Framework</w:t>
            </w:r>
          </w:p>
        </w:tc>
        <w:tc>
          <w:tcPr>
            <w:tcW w:type="dxa" w:w="61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71717A"/>
                <w:sz w:val="20"/>
                <w:szCs w:val="20"/>
              </w:rPr>
              <w:t xml:space="preserve">Vanilla HTML5 / CSS3 / JavaScript</w:t>
            </w:r>
          </w:p>
        </w:tc>
      </w:tr>
      <w:tr>
        <w:tc>
          <w:tcPr>
            <w:tcW w:type="dxa" w:w="32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8181B"/>
                <w:sz w:val="20"/>
                <w:szCs w:val="20"/>
              </w:rPr>
              <w:t xml:space="preserve">Fonts</w:t>
            </w:r>
          </w:p>
        </w:tc>
        <w:tc>
          <w:tcPr>
            <w:tcW w:type="dxa" w:w="61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71717A"/>
                <w:sz w:val="20"/>
                <w:szCs w:val="20"/>
              </w:rPr>
              <w:t xml:space="preserve">Inter (Google Fonts), JetBrains Mono</w:t>
            </w:r>
          </w:p>
        </w:tc>
      </w:tr>
      <w:tr>
        <w:tc>
          <w:tcPr>
            <w:tcW w:type="dxa" w:w="32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8181B"/>
                <w:sz w:val="20"/>
                <w:szCs w:val="20"/>
              </w:rPr>
              <w:t xml:space="preserve">Responsive</w:t>
            </w:r>
          </w:p>
        </w:tc>
        <w:tc>
          <w:tcPr>
            <w:tcW w:type="dxa" w:w="61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71717A"/>
                <w:sz w:val="20"/>
                <w:szCs w:val="20"/>
              </w:rPr>
              <w:t xml:space="preserve">Yes — breakpoints at 900px and 600px</w:t>
            </w:r>
          </w:p>
        </w:tc>
      </w:tr>
      <w:tr>
        <w:tc>
          <w:tcPr>
            <w:tcW w:type="dxa" w:w="32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8181B"/>
                <w:sz w:val="20"/>
                <w:szCs w:val="20"/>
              </w:rPr>
              <w:t xml:space="preserve">Animations</w:t>
            </w:r>
          </w:p>
        </w:tc>
        <w:tc>
          <w:tcPr>
            <w:tcW w:type="dxa" w:w="61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71717A"/>
                <w:sz w:val="20"/>
                <w:szCs w:val="20"/>
              </w:rPr>
              <w:t xml:space="preserve">Intersection Observer fade-in on scroll</w:t>
            </w:r>
          </w:p>
        </w:tc>
      </w:tr>
      <w:tr>
        <w:tc>
          <w:tcPr>
            <w:tcW w:type="dxa" w:w="32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8181B"/>
                <w:sz w:val="20"/>
                <w:szCs w:val="20"/>
              </w:rPr>
              <w:t xml:space="preserve">Navigation</w:t>
            </w:r>
          </w:p>
        </w:tc>
        <w:tc>
          <w:tcPr>
            <w:tcW w:type="dxa" w:w="61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71717A"/>
                <w:sz w:val="20"/>
                <w:szCs w:val="20"/>
              </w:rPr>
              <w:t xml:space="preserve">Fixed glassmorphic navbar with backdrop-filter blur</w:t>
            </w:r>
          </w:p>
        </w:tc>
      </w:tr>
      <w:tr>
        <w:tc>
          <w:tcPr>
            <w:tcW w:type="dxa" w:w="32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8181B"/>
                <w:sz w:val="20"/>
                <w:szCs w:val="20"/>
              </w:rPr>
              <w:t xml:space="preserve">Total sections</w:t>
            </w:r>
          </w:p>
        </w:tc>
        <w:tc>
          <w:tcPr>
            <w:tcW w:type="dxa" w:w="61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71717A"/>
                <w:sz w:val="20"/>
                <w:szCs w:val="20"/>
              </w:rPr>
              <w:t xml:space="preserve">10 content sections + nav + footer</w:t>
            </w:r>
          </w:p>
        </w:tc>
      </w:tr>
      <w:tr>
        <w:tc>
          <w:tcPr>
            <w:tcW w:type="dxa" w:w="32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8181B"/>
                <w:sz w:val="20"/>
                <w:szCs w:val="20"/>
              </w:rPr>
              <w:t xml:space="preserve">External deps</w:t>
            </w:r>
          </w:p>
        </w:tc>
        <w:tc>
          <w:tcPr>
            <w:tcW w:type="dxa" w:w="61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71717A"/>
                <w:sz w:val="20"/>
                <w:szCs w:val="20"/>
              </w:rPr>
              <w:t xml:space="preserve">Google Fonts CDN only</w:t>
            </w:r>
          </w:p>
        </w:tc>
      </w:tr>
      <w:tr>
        <w:tc>
          <w:tcPr>
            <w:tcW w:type="dxa" w:w="32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8181B"/>
                <w:sz w:val="20"/>
                <w:szCs w:val="20"/>
              </w:rPr>
              <w:t xml:space="preserve">File size</w:t>
            </w:r>
          </w:p>
        </w:tc>
        <w:tc>
          <w:tcPr>
            <w:tcW w:type="dxa" w:w="61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71717A"/>
                <w:sz w:val="20"/>
                <w:szCs w:val="20"/>
              </w:rPr>
              <w:t xml:space="preserve">Single index.html (~28 KB)</w:t>
            </w:r>
          </w:p>
        </w:tc>
      </w:tr>
      <w:tr>
        <w:tc>
          <w:tcPr>
            <w:tcW w:type="dxa" w:w="32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8181B"/>
                <w:sz w:val="20"/>
                <w:szCs w:val="20"/>
              </w:rPr>
              <w:t xml:space="preserve">Hosting</w:t>
            </w:r>
          </w:p>
        </w:tc>
        <w:tc>
          <w:tcPr>
            <w:tcW w:type="dxa" w:w="61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71717A"/>
                <w:sz w:val="20"/>
                <w:szCs w:val="20"/>
              </w:rPr>
              <w:t xml:space="preserve">Any static server (python -m http.server)</w:t>
            </w:r>
          </w:p>
        </w:tc>
      </w:tr>
      <w:tr>
        <w:tc>
          <w:tcPr>
            <w:tcW w:type="dxa" w:w="32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8181B"/>
                <w:sz w:val="20"/>
                <w:szCs w:val="20"/>
              </w:rPr>
              <w:t xml:space="preserve">Brand colors</w:t>
            </w:r>
          </w:p>
        </w:tc>
        <w:tc>
          <w:tcPr>
            <w:tcW w:type="dxa" w:w="61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71717A"/>
                <w:sz w:val="20"/>
                <w:szCs w:val="20"/>
              </w:rPr>
              <w:t xml:space="preserve">#2525FF (OCR Blue), #18181B (Dark), #F4F4F5 (BG)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2525FF"/>
          <w:sz w:val="36"/>
          <w:szCs w:val="36"/>
        </w:rPr>
        <w:t xml:space="preserve">3. </w:t>
      </w:r>
      <w:r>
        <w:rPr>
          <w:rFonts w:ascii="Calibri" w:cs="Calibri" w:eastAsia="Calibri" w:hAnsi="Calibri"/>
          <w:b/>
          <w:bCs/>
          <w:color w:val="18181B"/>
          <w:sz w:val="36"/>
          <w:szCs w:val="36"/>
        </w:rPr>
        <w:t xml:space="preserve">Site Map &amp; Information Architecture</w:t>
      </w:r>
    </w:p>
    <w:p>
      <w:pPr>
        <w:spacing w:after="160"/>
      </w:pPr>
      <w:r>
        <w:rPr>
          <w:rFonts w:ascii="Calibri" w:cs="Calibri" w:eastAsia="Calibri" w:hAnsi="Calibri"/>
          <w:color w:val="71717A"/>
          <w:sz w:val="22"/>
          <w:szCs w:val="22"/>
        </w:rPr>
        <w:t xml:space="preserve">The website follows a linear narrative structure, guiding the user from value proposition through technical details to action. Each section is accessible via anchor links in the navigation bar.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3000"/>
        <w:gridCol w:w="3560"/>
      </w:tblGrid>
      <w:tr>
        <w:tc>
          <w:tcPr>
            <w:tcW w:type="dxa" w:w="6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18181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2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18181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Section</w:t>
            </w:r>
          </w:p>
        </w:tc>
        <w:tc>
          <w:tcPr>
            <w:tcW w:type="dxa" w:w="30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18181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Content</w:t>
            </w:r>
          </w:p>
        </w:tc>
        <w:tc>
          <w:tcPr>
            <w:tcW w:type="dxa" w:w="35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18181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Visual Style</w:t>
            </w:r>
          </w:p>
        </w:tc>
      </w:tr>
      <w:tr>
        <w:tc>
          <w:tcPr>
            <w:tcW w:type="dxa" w:w="6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8181B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8181B"/>
                <w:sz w:val="18"/>
                <w:szCs w:val="18"/>
              </w:rPr>
              <w:t xml:space="preserve">Hero</w:t>
            </w:r>
          </w:p>
        </w:tc>
        <w:tc>
          <w:tcPr>
            <w:tcW w:type="dxa" w:w="30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8181B"/>
                <w:sz w:val="18"/>
                <w:szCs w:val="18"/>
              </w:rPr>
              <w:t xml:space="preserve">Tagline, CTA buttons, pip install, terminal mockup</w:t>
            </w:r>
          </w:p>
        </w:tc>
        <w:tc>
          <w:tcPr>
            <w:tcW w:type="dxa" w:w="35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8181B"/>
                <w:sz w:val="18"/>
                <w:szCs w:val="18"/>
              </w:rPr>
              <w:t xml:space="preserve">Gradient BG, 2-col grid</w:t>
            </w:r>
          </w:p>
        </w:tc>
      </w:tr>
      <w:tr>
        <w:tc>
          <w:tcPr>
            <w:tcW w:type="dxa" w:w="6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8181B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8181B"/>
                <w:sz w:val="18"/>
                <w:szCs w:val="18"/>
              </w:rPr>
              <w:t xml:space="preserve">Stats Bar</w:t>
            </w:r>
          </w:p>
        </w:tc>
        <w:tc>
          <w:tcPr>
            <w:tcW w:type="dxa" w:w="30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8181B"/>
                <w:sz w:val="18"/>
                <w:szCs w:val="18"/>
              </w:rPr>
              <w:t xml:space="preserve">4 key metrics (135 GeoTIFFs, 5 GCMs, 9 RPs, 100% open)</w:t>
            </w:r>
          </w:p>
        </w:tc>
        <w:tc>
          <w:tcPr>
            <w:tcW w:type="dxa" w:w="35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8181B"/>
                <w:sz w:val="18"/>
                <w:szCs w:val="18"/>
              </w:rPr>
              <w:t xml:space="preserve">White, centered numbers</w:t>
            </w:r>
          </w:p>
        </w:tc>
      </w:tr>
      <w:tr>
        <w:tc>
          <w:tcPr>
            <w:tcW w:type="dxa" w:w="6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8181B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8181B"/>
                <w:sz w:val="18"/>
                <w:szCs w:val="18"/>
              </w:rPr>
              <w:t xml:space="preserve">Features</w:t>
            </w:r>
          </w:p>
        </w:tc>
        <w:tc>
          <w:tcPr>
            <w:tcW w:type="dxa" w:w="30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8181B"/>
                <w:sz w:val="18"/>
                <w:szCs w:val="18"/>
              </w:rPr>
              <w:t xml:space="preserve">6 capability cards with icons</w:t>
            </w:r>
          </w:p>
        </w:tc>
        <w:tc>
          <w:tcPr>
            <w:tcW w:type="dxa" w:w="35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8181B"/>
                <w:sz w:val="18"/>
                <w:szCs w:val="18"/>
              </w:rPr>
              <w:t xml:space="preserve">Grey BG, 3-col grid cards</w:t>
            </w:r>
          </w:p>
        </w:tc>
      </w:tr>
      <w:tr>
        <w:tc>
          <w:tcPr>
            <w:tcW w:type="dxa" w:w="6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8181B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8181B"/>
                <w:sz w:val="18"/>
                <w:szCs w:val="18"/>
              </w:rPr>
              <w:t xml:space="preserve">Pipeline</w:t>
            </w:r>
          </w:p>
        </w:tc>
        <w:tc>
          <w:tcPr>
            <w:tcW w:type="dxa" w:w="30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8181B"/>
                <w:sz w:val="18"/>
                <w:szCs w:val="18"/>
              </w:rPr>
              <w:t xml:space="preserve">4-step flow: Asset → Hazard → Damage → EAD</w:t>
            </w:r>
          </w:p>
        </w:tc>
        <w:tc>
          <w:tcPr>
            <w:tcW w:type="dxa" w:w="35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8181B"/>
                <w:sz w:val="18"/>
                <w:szCs w:val="18"/>
              </w:rPr>
              <w:t xml:space="preserve">White, numbered circles</w:t>
            </w:r>
          </w:p>
        </w:tc>
      </w:tr>
      <w:tr>
        <w:tc>
          <w:tcPr>
            <w:tcW w:type="dxa" w:w="6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8181B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8181B"/>
                <w:sz w:val="18"/>
                <w:szCs w:val="18"/>
              </w:rPr>
              <w:t xml:space="preserve">Architecture</w:t>
            </w:r>
          </w:p>
        </w:tc>
        <w:tc>
          <w:tcPr>
            <w:tcW w:type="dxa" w:w="30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8181B"/>
                <w:sz w:val="18"/>
                <w:szCs w:val="18"/>
              </w:rPr>
              <w:t xml:space="preserve">File tree + 5 module cards</w:t>
            </w:r>
          </w:p>
        </w:tc>
        <w:tc>
          <w:tcPr>
            <w:tcW w:type="dxa" w:w="35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8181B"/>
                <w:sz w:val="18"/>
                <w:szCs w:val="18"/>
              </w:rPr>
              <w:t xml:space="preserve">Grey BG, dark terminal + cards</w:t>
            </w:r>
          </w:p>
        </w:tc>
      </w:tr>
      <w:tr>
        <w:tc>
          <w:tcPr>
            <w:tcW w:type="dxa" w:w="6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8181B"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8181B"/>
                <w:sz w:val="18"/>
                <w:szCs w:val="18"/>
              </w:rPr>
              <w:t xml:space="preserve">Data Sources</w:t>
            </w:r>
          </w:p>
        </w:tc>
        <w:tc>
          <w:tcPr>
            <w:tcW w:type="dxa" w:w="30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8181B"/>
                <w:sz w:val="18"/>
                <w:szCs w:val="18"/>
              </w:rPr>
              <w:t xml:space="preserve">Table: datasets, resolution, license</w:t>
            </w:r>
          </w:p>
        </w:tc>
        <w:tc>
          <w:tcPr>
            <w:tcW w:type="dxa" w:w="35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8181B"/>
                <w:sz w:val="18"/>
                <w:szCs w:val="18"/>
              </w:rPr>
              <w:t xml:space="preserve">White, styled table</w:t>
            </w:r>
          </w:p>
        </w:tc>
      </w:tr>
      <w:tr>
        <w:tc>
          <w:tcPr>
            <w:tcW w:type="dxa" w:w="6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8181B"/>
                <w:sz w:val="18"/>
                <w:szCs w:val="18"/>
              </w:rPr>
              <w:t xml:space="preserve">7</w:t>
            </w:r>
          </w:p>
        </w:tc>
        <w:tc>
          <w:tcPr>
            <w:tcW w:type="dxa" w:w="22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8181B"/>
                <w:sz w:val="18"/>
                <w:szCs w:val="18"/>
              </w:rPr>
              <w:t xml:space="preserve">Hazard Modules</w:t>
            </w:r>
          </w:p>
        </w:tc>
        <w:tc>
          <w:tcPr>
            <w:tcW w:type="dxa" w:w="30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8181B"/>
                <w:sz w:val="18"/>
                <w:szCs w:val="18"/>
              </w:rPr>
              <w:t xml:space="preserve">6 hazard cards with status badges</w:t>
            </w:r>
          </w:p>
        </w:tc>
        <w:tc>
          <w:tcPr>
            <w:tcW w:type="dxa" w:w="35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8181B"/>
                <w:sz w:val="18"/>
                <w:szCs w:val="18"/>
              </w:rPr>
              <w:t xml:space="preserve">Grey BG, 2-col grid</w:t>
            </w:r>
          </w:p>
        </w:tc>
      </w:tr>
      <w:tr>
        <w:tc>
          <w:tcPr>
            <w:tcW w:type="dxa" w:w="6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8181B"/>
                <w:sz w:val="18"/>
                <w:szCs w:val="18"/>
              </w:rPr>
              <w:t xml:space="preserve">8</w:t>
            </w:r>
          </w:p>
        </w:tc>
        <w:tc>
          <w:tcPr>
            <w:tcW w:type="dxa" w:w="22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8181B"/>
                <w:sz w:val="18"/>
                <w:szCs w:val="18"/>
              </w:rPr>
              <w:t xml:space="preserve">Roadmap</w:t>
            </w:r>
          </w:p>
        </w:tc>
        <w:tc>
          <w:tcPr>
            <w:tcW w:type="dxa" w:w="30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8181B"/>
                <w:sz w:val="18"/>
                <w:szCs w:val="18"/>
              </w:rPr>
              <w:t xml:space="preserve">5-item timeline (Now → 2027)</w:t>
            </w:r>
          </w:p>
        </w:tc>
        <w:tc>
          <w:tcPr>
            <w:tcW w:type="dxa" w:w="35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8181B"/>
                <w:sz w:val="18"/>
                <w:szCs w:val="18"/>
              </w:rPr>
              <w:t xml:space="preserve">White, vertical timeline</w:t>
            </w:r>
          </w:p>
        </w:tc>
      </w:tr>
      <w:tr>
        <w:tc>
          <w:tcPr>
            <w:tcW w:type="dxa" w:w="6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8181B"/>
                <w:sz w:val="18"/>
                <w:szCs w:val="18"/>
              </w:rPr>
              <w:t xml:space="preserve">9</w:t>
            </w:r>
          </w:p>
        </w:tc>
        <w:tc>
          <w:tcPr>
            <w:tcW w:type="dxa" w:w="22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8181B"/>
                <w:sz w:val="18"/>
                <w:szCs w:val="18"/>
              </w:rPr>
              <w:t xml:space="preserve">References</w:t>
            </w:r>
          </w:p>
        </w:tc>
        <w:tc>
          <w:tcPr>
            <w:tcW w:type="dxa" w:w="30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8181B"/>
                <w:sz w:val="18"/>
                <w:szCs w:val="18"/>
              </w:rPr>
              <w:t xml:space="preserve">5 peer-reviewed papers with DOIs</w:t>
            </w:r>
          </w:p>
        </w:tc>
        <w:tc>
          <w:tcPr>
            <w:tcW w:type="dxa" w:w="35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8181B"/>
                <w:sz w:val="18"/>
                <w:szCs w:val="18"/>
              </w:rPr>
              <w:t xml:space="preserve">Grey BG, stacked cards</w:t>
            </w:r>
          </w:p>
        </w:tc>
      </w:tr>
      <w:tr>
        <w:tc>
          <w:tcPr>
            <w:tcW w:type="dxa" w:w="6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8181B"/>
                <w:sz w:val="18"/>
                <w:szCs w:val="18"/>
              </w:rPr>
              <w:t xml:space="preserve">10</w:t>
            </w:r>
          </w:p>
        </w:tc>
        <w:tc>
          <w:tcPr>
            <w:tcW w:type="dxa" w:w="22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8181B"/>
                <w:sz w:val="18"/>
                <w:szCs w:val="18"/>
              </w:rPr>
              <w:t xml:space="preserve">CTA + Footer</w:t>
            </w:r>
          </w:p>
        </w:tc>
        <w:tc>
          <w:tcPr>
            <w:tcW w:type="dxa" w:w="30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8181B"/>
                <w:sz w:val="18"/>
                <w:szCs w:val="18"/>
              </w:rPr>
              <w:t xml:space="preserve">Git clone instructions, GitHub link</w:t>
            </w:r>
          </w:p>
        </w:tc>
        <w:tc>
          <w:tcPr>
            <w:tcW w:type="dxa" w:w="35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8181B"/>
                <w:sz w:val="18"/>
                <w:szCs w:val="18"/>
              </w:rPr>
              <w:t xml:space="preserve">Dark BG, terminal block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2525FF"/>
          <w:sz w:val="36"/>
          <w:szCs w:val="36"/>
        </w:rPr>
        <w:t xml:space="preserve">4. </w:t>
      </w:r>
      <w:r>
        <w:rPr>
          <w:rFonts w:ascii="Calibri" w:cs="Calibri" w:eastAsia="Calibri" w:hAnsi="Calibri"/>
          <w:b/>
          <w:bCs/>
          <w:color w:val="18181B"/>
          <w:sz w:val="36"/>
          <w:szCs w:val="36"/>
        </w:rPr>
        <w:t xml:space="preserve">Section 1 — Hero</w:t>
      </w:r>
    </w:p>
    <w:p>
      <w:pPr>
        <w:spacing w:after="160"/>
      </w:pPr>
      <w:r>
        <w:rPr>
          <w:rFonts w:ascii="Calibri" w:cs="Calibri" w:eastAsia="Calibri" w:hAnsi="Calibri"/>
          <w:color w:val="71717A"/>
          <w:sz w:val="22"/>
          <w:szCs w:val="22"/>
        </w:rPr>
        <w:t xml:space="preserve">The hero is the first viewport visitors see. It uses a two-column grid layout: the left column contains the value proposition, CTA buttons, and a pip install command; the right column shows a terminal mockup with a realistic code example.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8181B"/>
          <w:sz w:val="22"/>
          <w:szCs w:val="22"/>
        </w:rPr>
        <w:t xml:space="preserve">Background: </w:t>
      </w:r>
      <w:r>
        <w:rPr>
          <w:rFonts w:ascii="Calibri" w:cs="Calibri" w:eastAsia="Calibri" w:hAnsi="Calibri"/>
          <w:color w:val="71717A"/>
          <w:sz w:val="22"/>
          <w:szCs w:val="22"/>
        </w:rPr>
        <w:t xml:space="preserve">Subtle gradient from white to blue-05 (#EDEDFF) with decorative concentric circle borders.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8181B"/>
          <w:sz w:val="22"/>
          <w:szCs w:val="22"/>
        </w:rPr>
        <w:t xml:space="preserve">Badge: </w:t>
      </w:r>
      <w:r>
        <w:rPr>
          <w:rFonts w:ascii="Calibri" w:cs="Calibri" w:eastAsia="Calibri" w:hAnsi="Calibri"/>
          <w:color w:val="71717A"/>
          <w:sz w:val="22"/>
          <w:szCs w:val="22"/>
        </w:rPr>
        <w:t xml:space="preserve">Version pill (v0.1) with "Open-source climate risk screening" label.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8181B"/>
          <w:sz w:val="22"/>
          <w:szCs w:val="22"/>
        </w:rPr>
        <w:t xml:space="preserve">Terminal: </w:t>
      </w:r>
      <w:r>
        <w:rPr>
          <w:rFonts w:ascii="Calibri" w:cs="Calibri" w:eastAsia="Calibri" w:hAnsi="Calibri"/>
          <w:color w:val="71717A"/>
          <w:sz w:val="22"/>
          <w:szCs w:val="22"/>
        </w:rPr>
        <w:t xml:space="preserve">Dark rounded card with macOS-style traffic lights, showing Python code with syntax highlighting.</w:t>
      </w:r>
    </w:p>
    <w:p>
      <w:pPr>
        <w:pBdr>
          <w:top w:val="single" w:color="E4E4E7" w:sz="1" w:space="8"/>
          <w:bottom w:val="single" w:color="E4E4E7" w:sz="1" w:space="8"/>
          <w:left w:val="single" w:color="E4E4E7" w:sz="1" w:space="8"/>
          <w:right w:val="single" w:color="E4E4E7" w:sz="1" w:space="8"/>
        </w:pBdr>
        <w:spacing w:after="300" w:before="200"/>
        <w:jc w:val="center"/>
      </w:pPr>
      <w:r>
        <w:drawing>
          <wp:inline distT="0" distB="0" distL="0" distR="0">
            <wp:extent cx="5619750" cy="3514725"/>
            <wp:effectExtent t="0" r="0" b="0" l="0"/>
            <wp:docPr id="1" name="01_hero.png" descr="Screenshot: 01_hero.png" title="01_her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71717A"/>
          <w:sz w:val="18"/>
          <w:szCs w:val="18"/>
        </w:rPr>
        <w:t xml:space="preserve">Figure 1 — Hero section at 1440px viewport width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2525FF"/>
          <w:sz w:val="36"/>
          <w:szCs w:val="36"/>
        </w:rPr>
        <w:t xml:space="preserve">5. </w:t>
      </w:r>
      <w:r>
        <w:rPr>
          <w:rFonts w:ascii="Calibri" w:cs="Calibri" w:eastAsia="Calibri" w:hAnsi="Calibri"/>
          <w:b/>
          <w:bCs/>
          <w:color w:val="18181B"/>
          <w:sz w:val="36"/>
          <w:szCs w:val="36"/>
        </w:rPr>
        <w:t xml:space="preserve">Section 2 — Key Metrics</w:t>
      </w:r>
    </w:p>
    <w:p>
      <w:pPr>
        <w:spacing w:after="160"/>
      </w:pPr>
      <w:r>
        <w:rPr>
          <w:rFonts w:ascii="Calibri" w:cs="Calibri" w:eastAsia="Calibri" w:hAnsi="Calibri"/>
          <w:color w:val="71717A"/>
          <w:sz w:val="22"/>
          <w:szCs w:val="22"/>
        </w:rPr>
        <w:t xml:space="preserve">A compact stats bar immediately below the hero. Four key numbers communicate scale and credibility at a glance. Uses large blue numbers (#2525FF) with grey descriptive labels.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8181B"/>
          <w:sz w:val="22"/>
          <w:szCs w:val="22"/>
        </w:rPr>
        <w:t xml:space="preserve">Layout: </w:t>
      </w:r>
      <w:r>
        <w:rPr>
          <w:rFonts w:ascii="Calibri" w:cs="Calibri" w:eastAsia="Calibri" w:hAnsi="Calibri"/>
          <w:color w:val="71717A"/>
          <w:sz w:val="22"/>
          <w:szCs w:val="22"/>
        </w:rPr>
        <w:t xml:space="preserve">4-column grid, centered text, white background with bottom border.</w:t>
      </w:r>
    </w:p>
    <w:p>
      <w:pPr>
        <w:pBdr>
          <w:top w:val="single" w:color="E4E4E7" w:sz="1" w:space="8"/>
          <w:bottom w:val="single" w:color="E4E4E7" w:sz="1" w:space="8"/>
          <w:left w:val="single" w:color="E4E4E7" w:sz="1" w:space="8"/>
          <w:right w:val="single" w:color="E4E4E7" w:sz="1" w:space="8"/>
        </w:pBdr>
        <w:spacing w:after="300" w:before="200"/>
        <w:jc w:val="center"/>
      </w:pPr>
      <w:r>
        <w:drawing>
          <wp:inline distT="0" distB="0" distL="0" distR="0">
            <wp:extent cx="5619750" cy="3514725"/>
            <wp:effectExtent t="0" r="0" b="0" l="0"/>
            <wp:docPr id="1" name="02_stats.png" descr="Screenshot: 02_stats.png" title="02_stat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71717A"/>
          <w:sz w:val="18"/>
          <w:szCs w:val="18"/>
        </w:rPr>
        <w:t xml:space="preserve">Figure 2 — Stats bar section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2525FF"/>
          <w:sz w:val="36"/>
          <w:szCs w:val="36"/>
        </w:rPr>
        <w:t xml:space="preserve">6. </w:t>
      </w:r>
      <w:r>
        <w:rPr>
          <w:rFonts w:ascii="Calibri" w:cs="Calibri" w:eastAsia="Calibri" w:hAnsi="Calibri"/>
          <w:b/>
          <w:bCs/>
          <w:color w:val="18181B"/>
          <w:sz w:val="36"/>
          <w:szCs w:val="36"/>
        </w:rPr>
        <w:t xml:space="preserve">Section 3 — Features</w:t>
      </w:r>
    </w:p>
    <w:p>
      <w:pPr>
        <w:spacing w:after="160"/>
      </w:pPr>
      <w:r>
        <w:rPr>
          <w:rFonts w:ascii="Calibri" w:cs="Calibri" w:eastAsia="Calibri" w:hAnsi="Calibri"/>
          <w:color w:val="71717A"/>
          <w:sz w:val="22"/>
          <w:szCs w:val="22"/>
        </w:rPr>
        <w:t xml:space="preserve">Six feature cards in a 3-column grid, each with a colored icon container, title, and description. Cards have a white background, subtle border, and hover effect (border turns blue, slight elevation, upward translate).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8181B"/>
          <w:sz w:val="22"/>
          <w:szCs w:val="22"/>
        </w:rPr>
        <w:t xml:space="preserve">Cards: </w:t>
      </w:r>
      <w:r>
        <w:rPr>
          <w:rFonts w:ascii="Calibri" w:cs="Calibri" w:eastAsia="Calibri" w:hAnsi="Calibri"/>
          <w:color w:val="71717A"/>
          <w:sz w:val="22"/>
          <w:szCs w:val="22"/>
        </w:rPr>
        <w:t xml:space="preserve">Hazard Extraction, Vulnerability Curves, Expected Annual Damage, Climate Scenarios, Portfolio Analysis, Automated Reports.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8181B"/>
          <w:sz w:val="22"/>
          <w:szCs w:val="22"/>
        </w:rPr>
        <w:t xml:space="preserve">Icons: </w:t>
      </w:r>
      <w:r>
        <w:rPr>
          <w:rFonts w:ascii="Calibri" w:cs="Calibri" w:eastAsia="Calibri" w:hAnsi="Calibri"/>
          <w:color w:val="71717A"/>
          <w:sz w:val="22"/>
          <w:szCs w:val="22"/>
        </w:rPr>
        <w:t xml:space="preserve">SVG icons in colored rounded containers matching each feature’s theme.</w:t>
      </w:r>
    </w:p>
    <w:p>
      <w:pPr>
        <w:pBdr>
          <w:top w:val="single" w:color="E4E4E7" w:sz="1" w:space="8"/>
          <w:bottom w:val="single" w:color="E4E4E7" w:sz="1" w:space="8"/>
          <w:left w:val="single" w:color="E4E4E7" w:sz="1" w:space="8"/>
          <w:right w:val="single" w:color="E4E4E7" w:sz="1" w:space="8"/>
        </w:pBdr>
        <w:spacing w:after="300" w:before="200"/>
        <w:jc w:val="center"/>
      </w:pPr>
      <w:r>
        <w:drawing>
          <wp:inline distT="0" distB="0" distL="0" distR="0">
            <wp:extent cx="5619750" cy="3514725"/>
            <wp:effectExtent t="0" r="0" b="0" l="0"/>
            <wp:docPr id="1" name="03_features.png" descr="Screenshot: 03_features.png" title="03_featur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71717A"/>
          <w:sz w:val="18"/>
          <w:szCs w:val="18"/>
        </w:rPr>
        <w:t xml:space="preserve">Figure 3 — Features section with 6 capability cards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2525FF"/>
          <w:sz w:val="36"/>
          <w:szCs w:val="36"/>
        </w:rPr>
        <w:t xml:space="preserve">7. </w:t>
      </w:r>
      <w:r>
        <w:rPr>
          <w:rFonts w:ascii="Calibri" w:cs="Calibri" w:eastAsia="Calibri" w:hAnsi="Calibri"/>
          <w:b/>
          <w:bCs/>
          <w:color w:val="18181B"/>
          <w:sz w:val="36"/>
          <w:szCs w:val="36"/>
        </w:rPr>
        <w:t xml:space="preserve">Section 4 — Pipeline</w:t>
      </w:r>
    </w:p>
    <w:p>
      <w:pPr>
        <w:spacing w:after="160"/>
      </w:pPr>
      <w:r>
        <w:rPr>
          <w:rFonts w:ascii="Calibri" w:cs="Calibri" w:eastAsia="Calibri" w:hAnsi="Calibri"/>
          <w:color w:val="71717A"/>
          <w:sz w:val="22"/>
          <w:szCs w:val="22"/>
        </w:rPr>
        <w:t xml:space="preserve">A four-step horizontal flow showing the risk computation pipeline. Each step has a numbered circle connected by horizontal lines, a title, and a short description.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8181B"/>
          <w:sz w:val="22"/>
          <w:szCs w:val="22"/>
        </w:rPr>
        <w:t xml:space="preserve">Steps: </w:t>
      </w:r>
      <w:r>
        <w:rPr>
          <w:rFonts w:ascii="Calibri" w:cs="Calibri" w:eastAsia="Calibri" w:hAnsi="Calibri"/>
          <w:color w:val="71717A"/>
          <w:sz w:val="22"/>
          <w:szCs w:val="22"/>
        </w:rPr>
        <w:t xml:space="preserve">1. Define Asset → 2. Extract Hazard → 3. Apply Damage → 4. Compute EAD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8181B"/>
          <w:sz w:val="22"/>
          <w:szCs w:val="22"/>
        </w:rPr>
        <w:t xml:space="preserve">Visual: </w:t>
      </w:r>
      <w:r>
        <w:rPr>
          <w:rFonts w:ascii="Calibri" w:cs="Calibri" w:eastAsia="Calibri" w:hAnsi="Calibri"/>
          <w:color w:val="71717A"/>
          <w:sz w:val="22"/>
          <w:szCs w:val="22"/>
        </w:rPr>
        <w:t xml:space="preserve">Blue circle numbers with blue-05 background, connected by blue-40 lines. Responsive: stacks to 2-col then 1-col.</w:t>
      </w:r>
    </w:p>
    <w:p>
      <w:pPr>
        <w:pBdr>
          <w:top w:val="single" w:color="E4E4E7" w:sz="1" w:space="8"/>
          <w:bottom w:val="single" w:color="E4E4E7" w:sz="1" w:space="8"/>
          <w:left w:val="single" w:color="E4E4E7" w:sz="1" w:space="8"/>
          <w:right w:val="single" w:color="E4E4E7" w:sz="1" w:space="8"/>
        </w:pBdr>
        <w:spacing w:after="300" w:before="200"/>
        <w:jc w:val="center"/>
      </w:pPr>
      <w:r>
        <w:drawing>
          <wp:inline distT="0" distB="0" distL="0" distR="0">
            <wp:extent cx="5619750" cy="3514725"/>
            <wp:effectExtent t="0" r="0" b="0" l="0"/>
            <wp:docPr id="1" name="04_pipeline.png" descr="Screenshot: 04_pipeline.png" title="04_pipelin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71717A"/>
          <w:sz w:val="18"/>
          <w:szCs w:val="18"/>
        </w:rPr>
        <w:t xml:space="preserve">Figure 4 — Four-stage risk pipeline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2525FF"/>
          <w:sz w:val="36"/>
          <w:szCs w:val="36"/>
        </w:rPr>
        <w:t xml:space="preserve">8. </w:t>
      </w:r>
      <w:r>
        <w:rPr>
          <w:rFonts w:ascii="Calibri" w:cs="Calibri" w:eastAsia="Calibri" w:hAnsi="Calibri"/>
          <w:b/>
          <w:bCs/>
          <w:color w:val="18181B"/>
          <w:sz w:val="36"/>
          <w:szCs w:val="36"/>
        </w:rPr>
        <w:t xml:space="preserve">Section 5 — Architecture</w:t>
      </w:r>
    </w:p>
    <w:p>
      <w:pPr>
        <w:spacing w:after="160"/>
      </w:pPr>
      <w:r>
        <w:rPr>
          <w:rFonts w:ascii="Calibri" w:cs="Calibri" w:eastAsia="Calibri" w:hAnsi="Calibri"/>
          <w:color w:val="71717A"/>
          <w:sz w:val="22"/>
          <w:szCs w:val="22"/>
        </w:rPr>
        <w:t xml:space="preserve">Two-column layout: left side shows a dark terminal-style file tree of the Python package; right side shows five module cards with colored left-accent borders.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8181B"/>
          <w:sz w:val="22"/>
          <w:szCs w:val="22"/>
        </w:rPr>
        <w:t xml:space="preserve">File tree: </w:t>
      </w:r>
      <w:r>
        <w:rPr>
          <w:rFonts w:ascii="Calibri" w:cs="Calibri" w:eastAsia="Calibri" w:hAnsi="Calibri"/>
          <w:color w:val="71717A"/>
          <w:sz w:val="22"/>
          <w:szCs w:val="22"/>
        </w:rPr>
        <w:t xml:space="preserve">Dark background (#18181B), monospace font, directories in blue-40, files in grey, comments in dark grey.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8181B"/>
          <w:sz w:val="22"/>
          <w:szCs w:val="22"/>
        </w:rPr>
        <w:t xml:space="preserve">Module cards: </w:t>
      </w:r>
      <w:r>
        <w:rPr>
          <w:rFonts w:ascii="Calibri" w:cs="Calibri" w:eastAsia="Calibri" w:hAnsi="Calibri"/>
          <w:color w:val="71717A"/>
          <w:sz w:val="22"/>
          <w:szCs w:val="22"/>
        </w:rPr>
        <w:t xml:space="preserve">White with left accent bar: blue (config), orange (data), red (analysis), green (plot), teal (report).</w:t>
      </w:r>
    </w:p>
    <w:p>
      <w:pPr>
        <w:pBdr>
          <w:top w:val="single" w:color="E4E4E7" w:sz="1" w:space="8"/>
          <w:bottom w:val="single" w:color="E4E4E7" w:sz="1" w:space="8"/>
          <w:left w:val="single" w:color="E4E4E7" w:sz="1" w:space="8"/>
          <w:right w:val="single" w:color="E4E4E7" w:sz="1" w:space="8"/>
        </w:pBdr>
        <w:spacing w:after="300" w:before="200"/>
        <w:jc w:val="center"/>
      </w:pPr>
      <w:r>
        <w:drawing>
          <wp:inline distT="0" distB="0" distL="0" distR="0">
            <wp:extent cx="5619750" cy="3514725"/>
            <wp:effectExtent t="0" r="0" b="0" l="0"/>
            <wp:docPr id="1" name="05_architecture.png" descr="Screenshot: 05_architecture.png" title="05_archite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71717A"/>
          <w:sz w:val="18"/>
          <w:szCs w:val="18"/>
        </w:rPr>
        <w:t xml:space="preserve">Figure 5 — Package architecture: file tree + module cards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2525FF"/>
          <w:sz w:val="36"/>
          <w:szCs w:val="36"/>
        </w:rPr>
        <w:t xml:space="preserve">9. </w:t>
      </w:r>
      <w:r>
        <w:rPr>
          <w:rFonts w:ascii="Calibri" w:cs="Calibri" w:eastAsia="Calibri" w:hAnsi="Calibri"/>
          <w:b/>
          <w:bCs/>
          <w:color w:val="18181B"/>
          <w:sz w:val="36"/>
          <w:szCs w:val="36"/>
        </w:rPr>
        <w:t xml:space="preserve">Section 6 — Data Sources</w:t>
      </w:r>
    </w:p>
    <w:p>
      <w:pPr>
        <w:spacing w:after="160"/>
      </w:pPr>
      <w:r>
        <w:rPr>
          <w:rFonts w:ascii="Calibri" w:cs="Calibri" w:eastAsia="Calibri" w:hAnsi="Calibri"/>
          <w:color w:val="71717A"/>
          <w:sz w:val="22"/>
          <w:szCs w:val="22"/>
        </w:rPr>
        <w:t xml:space="preserve">A clean HTML table listing the four data sources: Riverine Hazard (WRI Aqueduct v2), Coastal Hazard, Vulnerability (JRC), and Climate Models (ISIMIP2b). Each row shows dataset, resolution, coverage, and license badge.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8181B"/>
          <w:sz w:val="22"/>
          <w:szCs w:val="22"/>
        </w:rPr>
        <w:t xml:space="preserve">License badges: </w:t>
      </w:r>
      <w:r>
        <w:rPr>
          <w:rFonts w:ascii="Calibri" w:cs="Calibri" w:eastAsia="Calibri" w:hAnsi="Calibri"/>
          <w:color w:val="71717A"/>
          <w:sz w:val="22"/>
          <w:szCs w:val="22"/>
        </w:rPr>
        <w:t xml:space="preserve">Green rounded pills ("CC BY 4.0", "Public domain").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8181B"/>
          <w:sz w:val="22"/>
          <w:szCs w:val="22"/>
        </w:rPr>
        <w:t xml:space="preserve">Hover effect: </w:t>
      </w:r>
      <w:r>
        <w:rPr>
          <w:rFonts w:ascii="Calibri" w:cs="Calibri" w:eastAsia="Calibri" w:hAnsi="Calibri"/>
          <w:color w:val="71717A"/>
          <w:sz w:val="22"/>
          <w:szCs w:val="22"/>
        </w:rPr>
        <w:t xml:space="preserve">Row highlights with blue-05 background.</w:t>
      </w:r>
    </w:p>
    <w:p>
      <w:pPr>
        <w:pBdr>
          <w:top w:val="single" w:color="E4E4E7" w:sz="1" w:space="8"/>
          <w:bottom w:val="single" w:color="E4E4E7" w:sz="1" w:space="8"/>
          <w:left w:val="single" w:color="E4E4E7" w:sz="1" w:space="8"/>
          <w:right w:val="single" w:color="E4E4E7" w:sz="1" w:space="8"/>
        </w:pBdr>
        <w:spacing w:after="300" w:before="200"/>
        <w:jc w:val="center"/>
      </w:pPr>
      <w:r>
        <w:drawing>
          <wp:inline distT="0" distB="0" distL="0" distR="0">
            <wp:extent cx="5619750" cy="3514725"/>
            <wp:effectExtent t="0" r="0" b="0" l="0"/>
            <wp:docPr id="1" name="06_data.png" descr="Screenshot: 06_data.png" title="06_dat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71717A"/>
          <w:sz w:val="18"/>
          <w:szCs w:val="18"/>
        </w:rPr>
        <w:t xml:space="preserve">Figure 6 — Data sources table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2525FF"/>
          <w:sz w:val="36"/>
          <w:szCs w:val="36"/>
        </w:rPr>
        <w:t xml:space="preserve">10. </w:t>
      </w:r>
      <w:r>
        <w:rPr>
          <w:rFonts w:ascii="Calibri" w:cs="Calibri" w:eastAsia="Calibri" w:hAnsi="Calibri"/>
          <w:b/>
          <w:bCs/>
          <w:color w:val="18181B"/>
          <w:sz w:val="36"/>
          <w:szCs w:val="36"/>
        </w:rPr>
        <w:t xml:space="preserve">Section 7 — Hazard Modules</w:t>
      </w:r>
    </w:p>
    <w:p>
      <w:pPr>
        <w:spacing w:after="160"/>
      </w:pPr>
      <w:r>
        <w:rPr>
          <w:rFonts w:ascii="Calibri" w:cs="Calibri" w:eastAsia="Calibri" w:hAnsi="Calibri"/>
          <w:color w:val="71717A"/>
          <w:sz w:val="22"/>
          <w:szCs w:val="22"/>
        </w:rPr>
        <w:t xml:space="preserve">Six hazard cards in a 2-column grid. Each card shows an SVG icon, hazard name, description, and a status badge indicating implementation status.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8181B"/>
          <w:sz w:val="22"/>
          <w:szCs w:val="22"/>
        </w:rPr>
        <w:t xml:space="preserve">Live (green): </w:t>
      </w:r>
      <w:r>
        <w:rPr>
          <w:rFonts w:ascii="Calibri" w:cs="Calibri" w:eastAsia="Calibri" w:hAnsi="Calibri"/>
          <w:color w:val="71717A"/>
          <w:sz w:val="22"/>
          <w:szCs w:val="22"/>
        </w:rPr>
        <w:t xml:space="preserve">Riverine Flood, Coastal Flood — currently implemented.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8181B"/>
          <w:sz w:val="22"/>
          <w:szCs w:val="22"/>
        </w:rPr>
        <w:t xml:space="preserve">Next (amber): </w:t>
      </w:r>
      <w:r>
        <w:rPr>
          <w:rFonts w:ascii="Calibri" w:cs="Calibri" w:eastAsia="Calibri" w:hAnsi="Calibri"/>
          <w:color w:val="71717A"/>
          <w:sz w:val="22"/>
          <w:szCs w:val="22"/>
        </w:rPr>
        <w:t xml:space="preserve">Heat Stress — planned for Q3 2026.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8181B"/>
          <w:sz w:val="22"/>
          <w:szCs w:val="22"/>
        </w:rPr>
        <w:t xml:space="preserve">Planned (blue): </w:t>
      </w:r>
      <w:r>
        <w:rPr>
          <w:rFonts w:ascii="Calibri" w:cs="Calibri" w:eastAsia="Calibri" w:hAnsi="Calibri"/>
          <w:color w:val="71717A"/>
          <w:sz w:val="22"/>
          <w:szCs w:val="22"/>
        </w:rPr>
        <w:t xml:space="preserve">Wildfire, Drought, Wind/Cyclone — 2027+.</w:t>
      </w:r>
    </w:p>
    <w:p>
      <w:pPr>
        <w:pBdr>
          <w:top w:val="single" w:color="E4E4E7" w:sz="1" w:space="8"/>
          <w:bottom w:val="single" w:color="E4E4E7" w:sz="1" w:space="8"/>
          <w:left w:val="single" w:color="E4E4E7" w:sz="1" w:space="8"/>
          <w:right w:val="single" w:color="E4E4E7" w:sz="1" w:space="8"/>
        </w:pBdr>
        <w:spacing w:after="300" w:before="200"/>
        <w:jc w:val="center"/>
      </w:pPr>
      <w:r>
        <w:drawing>
          <wp:inline distT="0" distB="0" distL="0" distR="0">
            <wp:extent cx="5619750" cy="3514725"/>
            <wp:effectExtent t="0" r="0" b="0" l="0"/>
            <wp:docPr id="1" name="07_hazards.png" descr="Screenshot: 07_hazards.png" title="07_hazard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71717A"/>
          <w:sz w:val="18"/>
          <w:szCs w:val="18"/>
        </w:rPr>
        <w:t xml:space="preserve">Figure 7 — Multi-hazard coverage with status badges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2525FF"/>
          <w:sz w:val="36"/>
          <w:szCs w:val="36"/>
        </w:rPr>
        <w:t xml:space="preserve">11. </w:t>
      </w:r>
      <w:r>
        <w:rPr>
          <w:rFonts w:ascii="Calibri" w:cs="Calibri" w:eastAsia="Calibri" w:hAnsi="Calibri"/>
          <w:b/>
          <w:bCs/>
          <w:color w:val="18181B"/>
          <w:sz w:val="36"/>
          <w:szCs w:val="36"/>
        </w:rPr>
        <w:t xml:space="preserve">Section 8 — Roadmap</w:t>
      </w:r>
    </w:p>
    <w:p>
      <w:pPr>
        <w:spacing w:after="160"/>
      </w:pPr>
      <w:r>
        <w:rPr>
          <w:rFonts w:ascii="Calibri" w:cs="Calibri" w:eastAsia="Calibri" w:hAnsi="Calibri"/>
          <w:color w:val="71717A"/>
          <w:sz w:val="22"/>
          <w:szCs w:val="22"/>
        </w:rPr>
        <w:t xml:space="preserve">A vertical timeline with 5 milestones from Now through 2027. Each item has a dot on the timeline axis (filled for current, outlined for future), a date label in blue, title, and description.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8181B"/>
          <w:sz w:val="22"/>
          <w:szCs w:val="22"/>
        </w:rPr>
        <w:t xml:space="preserve">Timeline: </w:t>
      </w:r>
      <w:r>
        <w:rPr>
          <w:rFonts w:ascii="Calibri" w:cs="Calibri" w:eastAsia="Calibri" w:hAnsi="Calibri"/>
          <w:color w:val="71717A"/>
          <w:sz w:val="22"/>
          <w:szCs w:val="22"/>
        </w:rPr>
        <w:t xml:space="preserve">Vertical blue-15 line with positioned dots. Active dot is filled blue, future dots are outlined.</w:t>
      </w:r>
    </w:p>
    <w:p>
      <w:pPr>
        <w:pBdr>
          <w:top w:val="single" w:color="E4E4E7" w:sz="1" w:space="8"/>
          <w:bottom w:val="single" w:color="E4E4E7" w:sz="1" w:space="8"/>
          <w:left w:val="single" w:color="E4E4E7" w:sz="1" w:space="8"/>
          <w:right w:val="single" w:color="E4E4E7" w:sz="1" w:space="8"/>
        </w:pBdr>
        <w:spacing w:after="300" w:before="200"/>
        <w:jc w:val="center"/>
      </w:pPr>
      <w:r>
        <w:drawing>
          <wp:inline distT="0" distB="0" distL="0" distR="0">
            <wp:extent cx="5619750" cy="3514725"/>
            <wp:effectExtent t="0" r="0" b="0" l="0"/>
            <wp:docPr id="1" name="08_roadmap.png" descr="Screenshot: 08_roadmap.png" title="08_roadma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71717A"/>
          <w:sz w:val="18"/>
          <w:szCs w:val="18"/>
        </w:rPr>
        <w:t xml:space="preserve">Figure 8 — Development roadmap timeline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2525FF"/>
          <w:sz w:val="36"/>
          <w:szCs w:val="36"/>
        </w:rPr>
        <w:t xml:space="preserve">12. </w:t>
      </w:r>
      <w:r>
        <w:rPr>
          <w:rFonts w:ascii="Calibri" w:cs="Calibri" w:eastAsia="Calibri" w:hAnsi="Calibri"/>
          <w:b/>
          <w:bCs/>
          <w:color w:val="18181B"/>
          <w:sz w:val="36"/>
          <w:szCs w:val="36"/>
        </w:rPr>
        <w:t xml:space="preserve">Section 9 — References</w:t>
      </w:r>
    </w:p>
    <w:p>
      <w:pPr>
        <w:spacing w:after="160"/>
      </w:pPr>
      <w:r>
        <w:rPr>
          <w:rFonts w:ascii="Calibri" w:cs="Calibri" w:eastAsia="Calibri" w:hAnsi="Calibri"/>
          <w:color w:val="71717A"/>
          <w:sz w:val="22"/>
          <w:szCs w:val="22"/>
        </w:rPr>
        <w:t xml:space="preserve">Five peer-reviewed reference cards stacked vertically. Each contains author, year, title, journal, and DOI link. Clean white cards with grey border on grey-bg background.</w:t>
      </w:r>
    </w:p>
    <w:p>
      <w:pPr>
        <w:pBdr>
          <w:top w:val="single" w:color="E4E4E7" w:sz="1" w:space="8"/>
          <w:bottom w:val="single" w:color="E4E4E7" w:sz="1" w:space="8"/>
          <w:left w:val="single" w:color="E4E4E7" w:sz="1" w:space="8"/>
          <w:right w:val="single" w:color="E4E4E7" w:sz="1" w:space="8"/>
        </w:pBdr>
        <w:spacing w:after="300" w:before="200"/>
        <w:jc w:val="center"/>
      </w:pPr>
      <w:r>
        <w:drawing>
          <wp:inline distT="0" distB="0" distL="0" distR="0">
            <wp:extent cx="5619750" cy="3514725"/>
            <wp:effectExtent t="0" r="0" b="0" l="0"/>
            <wp:docPr id="1" name="09_references.png" descr="Screenshot: 09_references.png" title="09_referenc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71717A"/>
          <w:sz w:val="18"/>
          <w:szCs w:val="18"/>
        </w:rPr>
        <w:t xml:space="preserve">Figure 9 — Scientific references section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2525FF"/>
          <w:sz w:val="36"/>
          <w:szCs w:val="36"/>
        </w:rPr>
        <w:t xml:space="preserve">13. </w:t>
      </w:r>
      <w:r>
        <w:rPr>
          <w:rFonts w:ascii="Calibri" w:cs="Calibri" w:eastAsia="Calibri" w:hAnsi="Calibri"/>
          <w:b/>
          <w:bCs/>
          <w:color w:val="18181B"/>
          <w:sz w:val="36"/>
          <w:szCs w:val="36"/>
        </w:rPr>
        <w:t xml:space="preserve">Section 10 — Call to Action &amp; Footer</w:t>
      </w:r>
    </w:p>
    <w:p>
      <w:pPr>
        <w:spacing w:after="160"/>
      </w:pPr>
      <w:r>
        <w:rPr>
          <w:rFonts w:ascii="Calibri" w:cs="Calibri" w:eastAsia="Calibri" w:hAnsi="Calibri"/>
          <w:color w:val="71717A"/>
          <w:sz w:val="22"/>
          <w:szCs w:val="22"/>
        </w:rPr>
        <w:t xml:space="preserve">Dark section (#18181B) with a radial blue glow background effect. Contains the "Start screening climate risk in five minutes" headline, a terminal block with git clone commands, and a "View on GitHub" CTA button.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8181B"/>
          <w:sz w:val="22"/>
          <w:szCs w:val="22"/>
        </w:rPr>
        <w:t xml:space="preserve">Footer: </w:t>
      </w:r>
      <w:r>
        <w:rPr>
          <w:rFonts w:ascii="Calibri" w:cs="Calibri" w:eastAsia="Calibri" w:hAnsi="Calibri"/>
          <w:color w:val="71717A"/>
          <w:sz w:val="22"/>
          <w:szCs w:val="22"/>
        </w:rPr>
        <w:t xml:space="preserve">Minimal dark footer with logo, "MIT License" text, and navigation links (GitHub, Documentation, PyPI, Contact).</w:t>
      </w:r>
    </w:p>
    <w:p>
      <w:pPr>
        <w:pBdr>
          <w:top w:val="single" w:color="E4E4E7" w:sz="1" w:space="8"/>
          <w:bottom w:val="single" w:color="E4E4E7" w:sz="1" w:space="8"/>
          <w:left w:val="single" w:color="E4E4E7" w:sz="1" w:space="8"/>
          <w:right w:val="single" w:color="E4E4E7" w:sz="1" w:space="8"/>
        </w:pBdr>
        <w:spacing w:after="300" w:before="200"/>
        <w:jc w:val="center"/>
      </w:pPr>
      <w:r>
        <w:drawing>
          <wp:inline distT="0" distB="0" distL="0" distR="0">
            <wp:extent cx="5619750" cy="3514725"/>
            <wp:effectExtent t="0" r="0" b="0" l="0"/>
            <wp:docPr id="1" name="10_cta.png" descr="Screenshot: 10_cta.png" title="10_ct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71717A"/>
          <w:sz w:val="18"/>
          <w:szCs w:val="18"/>
        </w:rPr>
        <w:t xml:space="preserve">Figure 10 — Call to action and footer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2525FF"/>
          <w:sz w:val="36"/>
          <w:szCs w:val="36"/>
        </w:rPr>
        <w:t xml:space="preserve">14. </w:t>
      </w:r>
      <w:r>
        <w:rPr>
          <w:rFonts w:ascii="Calibri" w:cs="Calibri" w:eastAsia="Calibri" w:hAnsi="Calibri"/>
          <w:b/>
          <w:bCs/>
          <w:color w:val="18181B"/>
          <w:sz w:val="36"/>
          <w:szCs w:val="36"/>
        </w:rPr>
        <w:t xml:space="preserve">Design System</w:t>
      </w:r>
    </w:p>
    <w:p>
      <w:pPr>
        <w:pStyle w:val="Heading2"/>
        <w:spacing w:after="160" w:before="200"/>
      </w:pPr>
      <w:r>
        <w:rPr>
          <w:rFonts w:ascii="Calibri" w:cs="Calibri" w:eastAsia="Calibri" w:hAnsi="Calibri"/>
          <w:b/>
          <w:bCs/>
          <w:color w:val="18181B"/>
          <w:sz w:val="28"/>
          <w:szCs w:val="28"/>
        </w:rPr>
        <w:t xml:space="preserve">Color Palette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680"/>
        <w:gridCol w:w="2680"/>
      </w:tblGrid>
      <w:tr>
        <w:tc>
          <w:tcPr>
            <w:tcW w:type="dxa" w:w="20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18181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Swatch</w:t>
            </w:r>
          </w:p>
        </w:tc>
        <w:tc>
          <w:tcPr>
            <w:tcW w:type="dxa" w:w="20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18181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268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18181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Hex</w:t>
            </w:r>
          </w:p>
        </w:tc>
        <w:tc>
          <w:tcPr>
            <w:tcW w:type="dxa" w:w="268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18181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Usage</w:t>
            </w:r>
          </w:p>
        </w:tc>
      </w:tr>
      <w:tr>
        <w:tc>
          <w:tcPr>
            <w:tcW w:type="dxa" w:w="20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525FF"/>
                <w:sz w:val="28"/>
                <w:szCs w:val="28"/>
              </w:rPr>
              <w:t xml:space="preserve">████</w:t>
            </w:r>
          </w:p>
        </w:tc>
        <w:tc>
          <w:tcPr>
            <w:tcW w:type="dxa" w:w="20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8181B"/>
                <w:sz w:val="18"/>
                <w:szCs w:val="18"/>
              </w:rPr>
              <w:t xml:space="preserve">OCR Blue</w:t>
            </w:r>
          </w:p>
        </w:tc>
        <w:tc>
          <w:tcPr>
            <w:tcW w:type="dxa" w:w="268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525FF"/>
                <w:sz w:val="18"/>
                <w:szCs w:val="18"/>
              </w:rPr>
              <w:t xml:space="preserve">#2525FF</w:t>
            </w:r>
          </w:p>
        </w:tc>
        <w:tc>
          <w:tcPr>
            <w:tcW w:type="dxa" w:w="268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71717A"/>
                <w:sz w:val="18"/>
                <w:szCs w:val="18"/>
              </w:rPr>
              <w:t xml:space="preserve">Primary, links, accents, CTAs</w:t>
            </w:r>
          </w:p>
        </w:tc>
      </w:tr>
      <w:tr>
        <w:tc>
          <w:tcPr>
            <w:tcW w:type="dxa" w:w="20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5858FF"/>
                <w:sz w:val="28"/>
                <w:szCs w:val="28"/>
              </w:rPr>
              <w:t xml:space="preserve">████</w:t>
            </w:r>
          </w:p>
        </w:tc>
        <w:tc>
          <w:tcPr>
            <w:tcW w:type="dxa" w:w="20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8181B"/>
                <w:sz w:val="18"/>
                <w:szCs w:val="18"/>
              </w:rPr>
              <w:t xml:space="preserve">Blue 70</w:t>
            </w:r>
          </w:p>
        </w:tc>
        <w:tc>
          <w:tcPr>
            <w:tcW w:type="dxa" w:w="268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525FF"/>
                <w:sz w:val="18"/>
                <w:szCs w:val="18"/>
              </w:rPr>
              <w:t xml:space="preserve">#5858FF</w:t>
            </w:r>
          </w:p>
        </w:tc>
        <w:tc>
          <w:tcPr>
            <w:tcW w:type="dxa" w:w="268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71717A"/>
                <w:sz w:val="18"/>
                <w:szCs w:val="18"/>
              </w:rPr>
              <w:t xml:space="preserve">Hover states</w:t>
            </w:r>
          </w:p>
        </w:tc>
      </w:tr>
      <w:tr>
        <w:tc>
          <w:tcPr>
            <w:tcW w:type="dxa" w:w="20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8F8FFF"/>
                <w:sz w:val="28"/>
                <w:szCs w:val="28"/>
              </w:rPr>
              <w:t xml:space="preserve">████</w:t>
            </w:r>
          </w:p>
        </w:tc>
        <w:tc>
          <w:tcPr>
            <w:tcW w:type="dxa" w:w="20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8181B"/>
                <w:sz w:val="18"/>
                <w:szCs w:val="18"/>
              </w:rPr>
              <w:t xml:space="preserve">Blue 40</w:t>
            </w:r>
          </w:p>
        </w:tc>
        <w:tc>
          <w:tcPr>
            <w:tcW w:type="dxa" w:w="268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525FF"/>
                <w:sz w:val="18"/>
                <w:szCs w:val="18"/>
              </w:rPr>
              <w:t xml:space="preserve">#8F8FFF</w:t>
            </w:r>
          </w:p>
        </w:tc>
        <w:tc>
          <w:tcPr>
            <w:tcW w:type="dxa" w:w="268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71717A"/>
                <w:sz w:val="18"/>
                <w:szCs w:val="18"/>
              </w:rPr>
              <w:t xml:space="preserve">Decorative borders</w:t>
            </w:r>
          </w:p>
        </w:tc>
      </w:tr>
      <w:tr>
        <w:tc>
          <w:tcPr>
            <w:tcW w:type="dxa" w:w="20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C9C9FF"/>
                <w:sz w:val="28"/>
                <w:szCs w:val="28"/>
              </w:rPr>
              <w:t xml:space="preserve">████</w:t>
            </w:r>
          </w:p>
        </w:tc>
        <w:tc>
          <w:tcPr>
            <w:tcW w:type="dxa" w:w="20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8181B"/>
                <w:sz w:val="18"/>
                <w:szCs w:val="18"/>
              </w:rPr>
              <w:t xml:space="preserve">Blue 15</w:t>
            </w:r>
          </w:p>
        </w:tc>
        <w:tc>
          <w:tcPr>
            <w:tcW w:type="dxa" w:w="268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525FF"/>
                <w:sz w:val="18"/>
                <w:szCs w:val="18"/>
              </w:rPr>
              <w:t xml:space="preserve">#C9C9FF</w:t>
            </w:r>
          </w:p>
        </w:tc>
        <w:tc>
          <w:tcPr>
            <w:tcW w:type="dxa" w:w="268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71717A"/>
                <w:sz w:val="18"/>
                <w:szCs w:val="18"/>
              </w:rPr>
              <w:t xml:space="preserve">Timeline, subtle borders</w:t>
            </w:r>
          </w:p>
        </w:tc>
      </w:tr>
      <w:tr>
        <w:tc>
          <w:tcPr>
            <w:tcW w:type="dxa" w:w="20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EDEDFF"/>
                <w:sz w:val="28"/>
                <w:szCs w:val="28"/>
              </w:rPr>
              <w:t xml:space="preserve">████</w:t>
            </w:r>
          </w:p>
        </w:tc>
        <w:tc>
          <w:tcPr>
            <w:tcW w:type="dxa" w:w="20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8181B"/>
                <w:sz w:val="18"/>
                <w:szCs w:val="18"/>
              </w:rPr>
              <w:t xml:space="preserve">Blue 05</w:t>
            </w:r>
          </w:p>
        </w:tc>
        <w:tc>
          <w:tcPr>
            <w:tcW w:type="dxa" w:w="268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525FF"/>
                <w:sz w:val="18"/>
                <w:szCs w:val="18"/>
              </w:rPr>
              <w:t xml:space="preserve">#EDEDFF</w:t>
            </w:r>
          </w:p>
        </w:tc>
        <w:tc>
          <w:tcPr>
            <w:tcW w:type="dxa" w:w="268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71717A"/>
                <w:sz w:val="18"/>
                <w:szCs w:val="18"/>
              </w:rPr>
              <w:t xml:space="preserve">Hero gradient, hover bg</w:t>
            </w:r>
          </w:p>
        </w:tc>
      </w:tr>
      <w:tr>
        <w:tc>
          <w:tcPr>
            <w:tcW w:type="dxa" w:w="20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8181B"/>
                <w:sz w:val="28"/>
                <w:szCs w:val="28"/>
              </w:rPr>
              <w:t xml:space="preserve">████</w:t>
            </w:r>
          </w:p>
        </w:tc>
        <w:tc>
          <w:tcPr>
            <w:tcW w:type="dxa" w:w="20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8181B"/>
                <w:sz w:val="18"/>
                <w:szCs w:val="18"/>
              </w:rPr>
              <w:t xml:space="preserve">Dark</w:t>
            </w:r>
          </w:p>
        </w:tc>
        <w:tc>
          <w:tcPr>
            <w:tcW w:type="dxa" w:w="268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525FF"/>
                <w:sz w:val="18"/>
                <w:szCs w:val="18"/>
              </w:rPr>
              <w:t xml:space="preserve">#18181B</w:t>
            </w:r>
          </w:p>
        </w:tc>
        <w:tc>
          <w:tcPr>
            <w:tcW w:type="dxa" w:w="268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71717A"/>
                <w:sz w:val="18"/>
                <w:szCs w:val="18"/>
              </w:rPr>
              <w:t xml:space="preserve">Headings, terminal bg, CTA bg</w:t>
            </w:r>
          </w:p>
        </w:tc>
      </w:tr>
      <w:tr>
        <w:tc>
          <w:tcPr>
            <w:tcW w:type="dxa" w:w="20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71717A"/>
                <w:sz w:val="28"/>
                <w:szCs w:val="28"/>
              </w:rPr>
              <w:t xml:space="preserve">████</w:t>
            </w:r>
          </w:p>
        </w:tc>
        <w:tc>
          <w:tcPr>
            <w:tcW w:type="dxa" w:w="20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8181B"/>
                <w:sz w:val="18"/>
                <w:szCs w:val="18"/>
              </w:rPr>
              <w:t xml:space="preserve">Grey Text</w:t>
            </w:r>
          </w:p>
        </w:tc>
        <w:tc>
          <w:tcPr>
            <w:tcW w:type="dxa" w:w="268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525FF"/>
                <w:sz w:val="18"/>
                <w:szCs w:val="18"/>
              </w:rPr>
              <w:t xml:space="preserve">#71717A</w:t>
            </w:r>
          </w:p>
        </w:tc>
        <w:tc>
          <w:tcPr>
            <w:tcW w:type="dxa" w:w="268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71717A"/>
                <w:sz w:val="18"/>
                <w:szCs w:val="18"/>
              </w:rPr>
              <w:t xml:space="preserve">Body text, descriptions</w:t>
            </w:r>
          </w:p>
        </w:tc>
      </w:tr>
      <w:tr>
        <w:tc>
          <w:tcPr>
            <w:tcW w:type="dxa" w:w="20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E4E4E7"/>
                <w:sz w:val="28"/>
                <w:szCs w:val="28"/>
              </w:rPr>
              <w:t xml:space="preserve">████</w:t>
            </w:r>
          </w:p>
        </w:tc>
        <w:tc>
          <w:tcPr>
            <w:tcW w:type="dxa" w:w="20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8181B"/>
                <w:sz w:val="18"/>
                <w:szCs w:val="18"/>
              </w:rPr>
              <w:t xml:space="preserve">Grey Border</w:t>
            </w:r>
          </w:p>
        </w:tc>
        <w:tc>
          <w:tcPr>
            <w:tcW w:type="dxa" w:w="268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525FF"/>
                <w:sz w:val="18"/>
                <w:szCs w:val="18"/>
              </w:rPr>
              <w:t xml:space="preserve">#E4E4E7</w:t>
            </w:r>
          </w:p>
        </w:tc>
        <w:tc>
          <w:tcPr>
            <w:tcW w:type="dxa" w:w="268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71717A"/>
                <w:sz w:val="18"/>
                <w:szCs w:val="18"/>
              </w:rPr>
              <w:t xml:space="preserve">Card borders, dividers</w:t>
            </w:r>
          </w:p>
        </w:tc>
      </w:tr>
      <w:tr>
        <w:tc>
          <w:tcPr>
            <w:tcW w:type="dxa" w:w="20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F4F4F5"/>
                <w:sz w:val="28"/>
                <w:szCs w:val="28"/>
              </w:rPr>
              <w:t xml:space="preserve">████</w:t>
            </w:r>
          </w:p>
        </w:tc>
        <w:tc>
          <w:tcPr>
            <w:tcW w:type="dxa" w:w="20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8181B"/>
                <w:sz w:val="18"/>
                <w:szCs w:val="18"/>
              </w:rPr>
              <w:t xml:space="preserve">Grey BG</w:t>
            </w:r>
          </w:p>
        </w:tc>
        <w:tc>
          <w:tcPr>
            <w:tcW w:type="dxa" w:w="268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525FF"/>
                <w:sz w:val="18"/>
                <w:szCs w:val="18"/>
              </w:rPr>
              <w:t xml:space="preserve">#F4F4F5</w:t>
            </w:r>
          </w:p>
        </w:tc>
        <w:tc>
          <w:tcPr>
            <w:tcW w:type="dxa" w:w="268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71717A"/>
                <w:sz w:val="18"/>
                <w:szCs w:val="18"/>
              </w:rPr>
              <w:t xml:space="preserve">Alternating section bg</w:t>
            </w:r>
          </w:p>
        </w:tc>
      </w:tr>
      <w:tr>
        <w:tc>
          <w:tcPr>
            <w:tcW w:type="dxa" w:w="20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FF8C00"/>
                <w:sz w:val="28"/>
                <w:szCs w:val="28"/>
              </w:rPr>
              <w:t xml:space="preserve">████</w:t>
            </w:r>
          </w:p>
        </w:tc>
        <w:tc>
          <w:tcPr>
            <w:tcW w:type="dxa" w:w="20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8181B"/>
                <w:sz w:val="18"/>
                <w:szCs w:val="18"/>
              </w:rPr>
              <w:t xml:space="preserve">Orange</w:t>
            </w:r>
          </w:p>
        </w:tc>
        <w:tc>
          <w:tcPr>
            <w:tcW w:type="dxa" w:w="268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525FF"/>
                <w:sz w:val="18"/>
                <w:szCs w:val="18"/>
              </w:rPr>
              <w:t xml:space="preserve">#FF8C00</w:t>
            </w:r>
          </w:p>
        </w:tc>
        <w:tc>
          <w:tcPr>
            <w:tcW w:type="dxa" w:w="268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71717A"/>
                <w:sz w:val="18"/>
                <w:szCs w:val="18"/>
              </w:rPr>
              <w:t xml:space="preserve">Data module accent</w:t>
            </w:r>
          </w:p>
        </w:tc>
      </w:tr>
      <w:tr>
        <w:tc>
          <w:tcPr>
            <w:tcW w:type="dxa" w:w="20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E63946"/>
                <w:sz w:val="28"/>
                <w:szCs w:val="28"/>
              </w:rPr>
              <w:t xml:space="preserve">████</w:t>
            </w:r>
          </w:p>
        </w:tc>
        <w:tc>
          <w:tcPr>
            <w:tcW w:type="dxa" w:w="20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8181B"/>
                <w:sz w:val="18"/>
                <w:szCs w:val="18"/>
              </w:rPr>
              <w:t xml:space="preserve">Red</w:t>
            </w:r>
          </w:p>
        </w:tc>
        <w:tc>
          <w:tcPr>
            <w:tcW w:type="dxa" w:w="268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525FF"/>
                <w:sz w:val="18"/>
                <w:szCs w:val="18"/>
              </w:rPr>
              <w:t xml:space="preserve">#E63946</w:t>
            </w:r>
          </w:p>
        </w:tc>
        <w:tc>
          <w:tcPr>
            <w:tcW w:type="dxa" w:w="268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71717A"/>
                <w:sz w:val="18"/>
                <w:szCs w:val="18"/>
              </w:rPr>
              <w:t xml:space="preserve">Analysis module accent</w:t>
            </w:r>
          </w:p>
        </w:tc>
      </w:tr>
      <w:tr>
        <w:tc>
          <w:tcPr>
            <w:tcW w:type="dxa" w:w="20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B87A"/>
                <w:sz w:val="28"/>
                <w:szCs w:val="28"/>
              </w:rPr>
              <w:t xml:space="preserve">████</w:t>
            </w:r>
          </w:p>
        </w:tc>
        <w:tc>
          <w:tcPr>
            <w:tcW w:type="dxa" w:w="20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8181B"/>
                <w:sz w:val="18"/>
                <w:szCs w:val="18"/>
              </w:rPr>
              <w:t xml:space="preserve">Green</w:t>
            </w:r>
          </w:p>
        </w:tc>
        <w:tc>
          <w:tcPr>
            <w:tcW w:type="dxa" w:w="268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525FF"/>
                <w:sz w:val="18"/>
                <w:szCs w:val="18"/>
              </w:rPr>
              <w:t xml:space="preserve">#00B87A</w:t>
            </w:r>
          </w:p>
        </w:tc>
        <w:tc>
          <w:tcPr>
            <w:tcW w:type="dxa" w:w="268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71717A"/>
                <w:sz w:val="18"/>
                <w:szCs w:val="18"/>
              </w:rPr>
              <w:t xml:space="preserve">Badges, terminal prompt</w:t>
            </w:r>
          </w:p>
        </w:tc>
      </w:tr>
      <w:tr>
        <w:tc>
          <w:tcPr>
            <w:tcW w:type="dxa" w:w="20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096B4"/>
                <w:sz w:val="28"/>
                <w:szCs w:val="28"/>
              </w:rPr>
              <w:t xml:space="preserve">████</w:t>
            </w:r>
          </w:p>
        </w:tc>
        <w:tc>
          <w:tcPr>
            <w:tcW w:type="dxa" w:w="20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8181B"/>
                <w:sz w:val="18"/>
                <w:szCs w:val="18"/>
              </w:rPr>
              <w:t xml:space="preserve">Teal</w:t>
            </w:r>
          </w:p>
        </w:tc>
        <w:tc>
          <w:tcPr>
            <w:tcW w:type="dxa" w:w="268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525FF"/>
                <w:sz w:val="18"/>
                <w:szCs w:val="18"/>
              </w:rPr>
              <w:t xml:space="preserve">#0096B4</w:t>
            </w:r>
          </w:p>
        </w:tc>
        <w:tc>
          <w:tcPr>
            <w:tcW w:type="dxa" w:w="268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71717A"/>
                <w:sz w:val="18"/>
                <w:szCs w:val="18"/>
              </w:rPr>
              <w:t xml:space="preserve">Report module accent</w:t>
            </w:r>
          </w:p>
        </w:tc>
      </w:tr>
    </w:tbl>
    <w:p>
      <w:pPr>
        <w:spacing w:after="100"/>
      </w:pP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18181B"/>
          <w:sz w:val="28"/>
          <w:szCs w:val="28"/>
        </w:rPr>
        <w:t xml:space="preserve">Typography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280"/>
        <w:gridCol w:w="2280"/>
      </w:tblGrid>
      <w:tr>
        <w:tc>
          <w:tcPr>
            <w:tcW w:type="dxa" w:w="2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18181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Element</w:t>
            </w:r>
          </w:p>
        </w:tc>
        <w:tc>
          <w:tcPr>
            <w:tcW w:type="dxa" w:w="2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18181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Font</w:t>
            </w:r>
          </w:p>
        </w:tc>
        <w:tc>
          <w:tcPr>
            <w:tcW w:type="dxa" w:w="228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18181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Weight</w:t>
            </w:r>
          </w:p>
        </w:tc>
        <w:tc>
          <w:tcPr>
            <w:tcW w:type="dxa" w:w="228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18181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Size</w:t>
            </w:r>
          </w:p>
        </w:tc>
      </w:tr>
      <w:tr>
        <w:tc>
          <w:tcPr>
            <w:tcW w:type="dxa" w:w="2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8181B"/>
                <w:sz w:val="18"/>
                <w:szCs w:val="18"/>
              </w:rPr>
              <w:t xml:space="preserve">Hero heading</w:t>
            </w:r>
          </w:p>
        </w:tc>
        <w:tc>
          <w:tcPr>
            <w:tcW w:type="dxa" w:w="2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71717A"/>
                <w:sz w:val="18"/>
                <w:szCs w:val="18"/>
              </w:rPr>
              <w:t xml:space="preserve">Inter</w:t>
            </w:r>
          </w:p>
        </w:tc>
        <w:tc>
          <w:tcPr>
            <w:tcW w:type="dxa" w:w="228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71717A"/>
                <w:sz w:val="18"/>
                <w:szCs w:val="18"/>
              </w:rPr>
              <w:t xml:space="preserve">800 (ExtraBold)</w:t>
            </w:r>
          </w:p>
        </w:tc>
        <w:tc>
          <w:tcPr>
            <w:tcW w:type="dxa" w:w="228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71717A"/>
                <w:sz w:val="18"/>
                <w:szCs w:val="18"/>
              </w:rPr>
              <w:t xml:space="preserve">3.5rem (56px)</w:t>
            </w:r>
          </w:p>
        </w:tc>
      </w:tr>
      <w:tr>
        <w:tc>
          <w:tcPr>
            <w:tcW w:type="dxa" w:w="2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8181B"/>
                <w:sz w:val="18"/>
                <w:szCs w:val="18"/>
              </w:rPr>
              <w:t xml:space="preserve">Section title</w:t>
            </w:r>
          </w:p>
        </w:tc>
        <w:tc>
          <w:tcPr>
            <w:tcW w:type="dxa" w:w="2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71717A"/>
                <w:sz w:val="18"/>
                <w:szCs w:val="18"/>
              </w:rPr>
              <w:t xml:space="preserve">Inter</w:t>
            </w:r>
          </w:p>
        </w:tc>
        <w:tc>
          <w:tcPr>
            <w:tcW w:type="dxa" w:w="228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71717A"/>
                <w:sz w:val="18"/>
                <w:szCs w:val="18"/>
              </w:rPr>
              <w:t xml:space="preserve">800 (ExtraBold)</w:t>
            </w:r>
          </w:p>
        </w:tc>
        <w:tc>
          <w:tcPr>
            <w:tcW w:type="dxa" w:w="228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71717A"/>
                <w:sz w:val="18"/>
                <w:szCs w:val="18"/>
              </w:rPr>
              <w:t xml:space="preserve">2.5rem (40px)</w:t>
            </w:r>
          </w:p>
        </w:tc>
      </w:tr>
      <w:tr>
        <w:tc>
          <w:tcPr>
            <w:tcW w:type="dxa" w:w="2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8181B"/>
                <w:sz w:val="18"/>
                <w:szCs w:val="18"/>
              </w:rPr>
              <w:t xml:space="preserve">Card title</w:t>
            </w:r>
          </w:p>
        </w:tc>
        <w:tc>
          <w:tcPr>
            <w:tcW w:type="dxa" w:w="2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71717A"/>
                <w:sz w:val="18"/>
                <w:szCs w:val="18"/>
              </w:rPr>
              <w:t xml:space="preserve">Inter</w:t>
            </w:r>
          </w:p>
        </w:tc>
        <w:tc>
          <w:tcPr>
            <w:tcW w:type="dxa" w:w="228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71717A"/>
                <w:sz w:val="18"/>
                <w:szCs w:val="18"/>
              </w:rPr>
              <w:t xml:space="preserve">700 (Bold)</w:t>
            </w:r>
          </w:p>
        </w:tc>
        <w:tc>
          <w:tcPr>
            <w:tcW w:type="dxa" w:w="228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71717A"/>
                <w:sz w:val="18"/>
                <w:szCs w:val="18"/>
              </w:rPr>
              <w:t xml:space="preserve">1.1rem (17.6px)</w:t>
            </w:r>
          </w:p>
        </w:tc>
      </w:tr>
      <w:tr>
        <w:tc>
          <w:tcPr>
            <w:tcW w:type="dxa" w:w="2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8181B"/>
                <w:sz w:val="18"/>
                <w:szCs w:val="18"/>
              </w:rPr>
              <w:t xml:space="preserve">Body text</w:t>
            </w:r>
          </w:p>
        </w:tc>
        <w:tc>
          <w:tcPr>
            <w:tcW w:type="dxa" w:w="2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71717A"/>
                <w:sz w:val="18"/>
                <w:szCs w:val="18"/>
              </w:rPr>
              <w:t xml:space="preserve">Inter</w:t>
            </w:r>
          </w:p>
        </w:tc>
        <w:tc>
          <w:tcPr>
            <w:tcW w:type="dxa" w:w="228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71717A"/>
                <w:sz w:val="18"/>
                <w:szCs w:val="18"/>
              </w:rPr>
              <w:t xml:space="preserve">400 (Regular)</w:t>
            </w:r>
          </w:p>
        </w:tc>
        <w:tc>
          <w:tcPr>
            <w:tcW w:type="dxa" w:w="228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71717A"/>
                <w:sz w:val="18"/>
                <w:szCs w:val="18"/>
              </w:rPr>
              <w:t xml:space="preserve">0.9rem (14.4px)</w:t>
            </w:r>
          </w:p>
        </w:tc>
      </w:tr>
      <w:tr>
        <w:tc>
          <w:tcPr>
            <w:tcW w:type="dxa" w:w="2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8181B"/>
                <w:sz w:val="18"/>
                <w:szCs w:val="18"/>
              </w:rPr>
              <w:t xml:space="preserve">Nav links</w:t>
            </w:r>
          </w:p>
        </w:tc>
        <w:tc>
          <w:tcPr>
            <w:tcW w:type="dxa" w:w="2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71717A"/>
                <w:sz w:val="18"/>
                <w:szCs w:val="18"/>
              </w:rPr>
              <w:t xml:space="preserve">Inter</w:t>
            </w:r>
          </w:p>
        </w:tc>
        <w:tc>
          <w:tcPr>
            <w:tcW w:type="dxa" w:w="228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71717A"/>
                <w:sz w:val="18"/>
                <w:szCs w:val="18"/>
              </w:rPr>
              <w:t xml:space="preserve">500 (Medium)</w:t>
            </w:r>
          </w:p>
        </w:tc>
        <w:tc>
          <w:tcPr>
            <w:tcW w:type="dxa" w:w="228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71717A"/>
                <w:sz w:val="18"/>
                <w:szCs w:val="18"/>
              </w:rPr>
              <w:t xml:space="preserve">0.9rem (14.4px)</w:t>
            </w:r>
          </w:p>
        </w:tc>
      </w:tr>
      <w:tr>
        <w:tc>
          <w:tcPr>
            <w:tcW w:type="dxa" w:w="2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8181B"/>
                <w:sz w:val="18"/>
                <w:szCs w:val="18"/>
              </w:rPr>
              <w:t xml:space="preserve">Code / terminal</w:t>
            </w:r>
          </w:p>
        </w:tc>
        <w:tc>
          <w:tcPr>
            <w:tcW w:type="dxa" w:w="2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71717A"/>
                <w:sz w:val="18"/>
                <w:szCs w:val="18"/>
              </w:rPr>
              <w:t xml:space="preserve">JetBrains Mono</w:t>
            </w:r>
          </w:p>
        </w:tc>
        <w:tc>
          <w:tcPr>
            <w:tcW w:type="dxa" w:w="228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71717A"/>
                <w:sz w:val="18"/>
                <w:szCs w:val="18"/>
              </w:rPr>
              <w:t xml:space="preserve">400 (Regular)</w:t>
            </w:r>
          </w:p>
        </w:tc>
        <w:tc>
          <w:tcPr>
            <w:tcW w:type="dxa" w:w="228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71717A"/>
                <w:sz w:val="18"/>
                <w:szCs w:val="18"/>
              </w:rPr>
              <w:t xml:space="preserve">0.82rem (13px)</w:t>
            </w:r>
          </w:p>
        </w:tc>
      </w:tr>
      <w:tr>
        <w:tc>
          <w:tcPr>
            <w:tcW w:type="dxa" w:w="2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8181B"/>
                <w:sz w:val="18"/>
                <w:szCs w:val="18"/>
              </w:rPr>
              <w:t xml:space="preserve">Section label</w:t>
            </w:r>
          </w:p>
        </w:tc>
        <w:tc>
          <w:tcPr>
            <w:tcW w:type="dxa" w:w="2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71717A"/>
                <w:sz w:val="18"/>
                <w:szCs w:val="18"/>
              </w:rPr>
              <w:t xml:space="preserve">Inter</w:t>
            </w:r>
          </w:p>
        </w:tc>
        <w:tc>
          <w:tcPr>
            <w:tcW w:type="dxa" w:w="228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71717A"/>
                <w:sz w:val="18"/>
                <w:szCs w:val="18"/>
              </w:rPr>
              <w:t xml:space="preserve">700 (Bold)</w:t>
            </w:r>
          </w:p>
        </w:tc>
        <w:tc>
          <w:tcPr>
            <w:tcW w:type="dxa" w:w="228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71717A"/>
                <w:sz w:val="18"/>
                <w:szCs w:val="18"/>
              </w:rPr>
              <w:t xml:space="preserve">0.75rem (12px)</w:t>
            </w:r>
          </w:p>
        </w:tc>
      </w:tr>
      <w:tr>
        <w:tc>
          <w:tcPr>
            <w:tcW w:type="dxa" w:w="2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8181B"/>
                <w:sz w:val="18"/>
                <w:szCs w:val="18"/>
              </w:rPr>
              <w:t xml:space="preserve">Badge / status</w:t>
            </w:r>
          </w:p>
        </w:tc>
        <w:tc>
          <w:tcPr>
            <w:tcW w:type="dxa" w:w="2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71717A"/>
                <w:sz w:val="18"/>
                <w:szCs w:val="18"/>
              </w:rPr>
              <w:t xml:space="preserve">Inter</w:t>
            </w:r>
          </w:p>
        </w:tc>
        <w:tc>
          <w:tcPr>
            <w:tcW w:type="dxa" w:w="228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71717A"/>
                <w:sz w:val="18"/>
                <w:szCs w:val="18"/>
              </w:rPr>
              <w:t xml:space="preserve">700 (Bold)</w:t>
            </w:r>
          </w:p>
        </w:tc>
        <w:tc>
          <w:tcPr>
            <w:tcW w:type="dxa" w:w="228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71717A"/>
                <w:sz w:val="18"/>
                <w:szCs w:val="18"/>
              </w:rPr>
              <w:t xml:space="preserve">0.7rem (11.2px)</w:t>
            </w:r>
          </w:p>
        </w:tc>
      </w:tr>
    </w:tbl>
    <w:p>
      <w:pPr>
        <w:spacing w:after="100"/>
      </w:pP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18181B"/>
          <w:sz w:val="28"/>
          <w:szCs w:val="28"/>
        </w:rPr>
        <w:t xml:space="preserve">UI Components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8181B"/>
          <w:sz w:val="22"/>
          <w:szCs w:val="22"/>
        </w:rPr>
        <w:t xml:space="preserve">Feature cards: </w:t>
      </w:r>
      <w:r>
        <w:rPr>
          <w:rFonts w:ascii="Calibri" w:cs="Calibri" w:eastAsia="Calibri" w:hAnsi="Calibri"/>
          <w:color w:val="71717A"/>
          <w:sz w:val="22"/>
          <w:szCs w:val="22"/>
        </w:rPr>
        <w:t xml:space="preserve">White bg, 1px grey border, 16px border-radius. On hover: blue border, 8px box-shadow (rgba blue 8%), -2px translateY.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8181B"/>
          <w:sz w:val="22"/>
          <w:szCs w:val="22"/>
        </w:rPr>
        <w:t xml:space="preserve">Section labels: </w:t>
      </w:r>
      <w:r>
        <w:rPr>
          <w:rFonts w:ascii="Calibri" w:cs="Calibri" w:eastAsia="Calibri" w:hAnsi="Calibri"/>
          <w:color w:val="71717A"/>
          <w:sz w:val="22"/>
          <w:szCs w:val="22"/>
        </w:rPr>
        <w:t xml:space="preserve">Uppercase, 0.75rem, bold, 0.1em letter-spacing, OCR Blue color.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8181B"/>
          <w:sz w:val="22"/>
          <w:szCs w:val="22"/>
        </w:rPr>
        <w:t xml:space="preserve">Buttons (primary): </w:t>
      </w:r>
      <w:r>
        <w:rPr>
          <w:rFonts w:ascii="Calibri" w:cs="Calibri" w:eastAsia="Calibri" w:hAnsi="Calibri"/>
          <w:color w:val="71717A"/>
          <w:sz w:val="22"/>
          <w:szCs w:val="22"/>
        </w:rPr>
        <w:t xml:space="preserve">Blue bg (#2525FF), white text, 10px border-radius, 14px 28px padding, 600 weight. Hover: Blue-70 (#5858FF).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8181B"/>
          <w:sz w:val="22"/>
          <w:szCs w:val="22"/>
        </w:rPr>
        <w:t xml:space="preserve">Buttons (secondary): </w:t>
      </w:r>
      <w:r>
        <w:rPr>
          <w:rFonts w:ascii="Calibri" w:cs="Calibri" w:eastAsia="Calibri" w:hAnsi="Calibri"/>
          <w:color w:val="71717A"/>
          <w:sz w:val="22"/>
          <w:szCs w:val="22"/>
        </w:rPr>
        <w:t xml:space="preserve">White bg, grey border, 10px border-radius. Hover: blue-40 border.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8181B"/>
          <w:sz w:val="22"/>
          <w:szCs w:val="22"/>
        </w:rPr>
        <w:t xml:space="preserve">Terminal mockup: </w:t>
      </w:r>
      <w:r>
        <w:rPr>
          <w:rFonts w:ascii="Calibri" w:cs="Calibri" w:eastAsia="Calibri" w:hAnsi="Calibri"/>
          <w:color w:val="71717A"/>
          <w:sz w:val="22"/>
          <w:szCs w:val="22"/>
        </w:rPr>
        <w:t xml:space="preserve">Dark bg (#18181B), 16px border-radius, header bar (#27272A) with 3 traffic-light dots, monospace content with syntax-highlighted code.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8181B"/>
          <w:sz w:val="22"/>
          <w:szCs w:val="22"/>
        </w:rPr>
        <w:t xml:space="preserve">Status badges: </w:t>
      </w:r>
      <w:r>
        <w:rPr>
          <w:rFonts w:ascii="Calibri" w:cs="Calibri" w:eastAsia="Calibri" w:hAnsi="Calibri"/>
          <w:color w:val="71717A"/>
          <w:sz w:val="22"/>
          <w:szCs w:val="22"/>
        </w:rPr>
        <w:t xml:space="preserve">Rounded pill (100px radius), uppercase text, colored bg: green (#DCFCE7), amber (#FEF3C7), blue (#EDEDFF).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8181B"/>
          <w:sz w:val="22"/>
          <w:szCs w:val="22"/>
        </w:rPr>
        <w:t xml:space="preserve">Data table: </w:t>
      </w:r>
      <w:r>
        <w:rPr>
          <w:rFonts w:ascii="Calibri" w:cs="Calibri" w:eastAsia="Calibri" w:hAnsi="Calibri"/>
          <w:color w:val="71717A"/>
          <w:sz w:val="22"/>
          <w:szCs w:val="22"/>
        </w:rPr>
        <w:t xml:space="preserve">Dark header row, white body rows, grey borders, green license badges. Row hover highlights in blue-05.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8181B"/>
          <w:sz w:val="22"/>
          <w:szCs w:val="22"/>
        </w:rPr>
        <w:t xml:space="preserve">Navigation: </w:t>
      </w:r>
      <w:r>
        <w:rPr>
          <w:rFonts w:ascii="Calibri" w:cs="Calibri" w:eastAsia="Calibri" w:hAnsi="Calibri"/>
          <w:color w:val="71717A"/>
          <w:sz w:val="22"/>
          <w:szCs w:val="22"/>
        </w:rPr>
        <w:t xml:space="preserve">Fixed position, white bg with 85% opacity, 20px backdrop-filter blur. Adds shadow on scroll via JS class toggle.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8181B"/>
          <w:sz w:val="22"/>
          <w:szCs w:val="22"/>
        </w:rPr>
        <w:t xml:space="preserve">Scroll animations: </w:t>
      </w:r>
      <w:r>
        <w:rPr>
          <w:rFonts w:ascii="Calibri" w:cs="Calibri" w:eastAsia="Calibri" w:hAnsi="Calibri"/>
          <w:color w:val="71717A"/>
          <w:sz w:val="22"/>
          <w:szCs w:val="22"/>
        </w:rPr>
        <w:t xml:space="preserve">Elements with .fade-in class start at opacity:0, translateY:24px. IntersectionObserver adds .visible class at 10% threshold.</w:t>
      </w:r>
    </w:p>
    <w:sectPr>
      <w:headerReference w:type="default" r:id="rId9"/>
      <w:footerReference w:type="default" r:id="rId10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71717A"/>
        <w:sz w:val="18"/>
        <w:szCs w:val="18"/>
      </w:rPr>
      <w:t xml:space="preserve">Page </w:t>
    </w:r>
    <w:r>
      <w:rPr>
        <w:rFonts w:ascii="Calibri" w:cs="Calibri" w:eastAsia="Calibri" w:hAnsi="Calibri"/>
        <w:color w:val="71717A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71717A"/>
        <w:sz w:val="18"/>
        <w:szCs w:val="18"/>
      </w:rPr>
      <w:t xml:space="preserve">Page </w:t>
    </w:r>
    <w:r>
      <w:rPr>
        <w:rFonts w:ascii="Calibri" w:cs="Calibri" w:eastAsia="Calibri" w:hAnsi="Calibri"/>
        <w:color w:val="71717A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4E4E7" w:sz="1" w:space="4"/>
      </w:pBdr>
    </w:pPr>
    <w:r>
      <w:rPr>
        <w:rFonts w:ascii="Calibri" w:cs="Calibri" w:eastAsia="Calibri" w:hAnsi="Calibri"/>
        <w:b/>
        <w:bCs/>
        <w:color w:val="2525FF"/>
        <w:sz w:val="18"/>
        <w:szCs w:val="18"/>
      </w:rPr>
      <w:t xml:space="preserve">Open Climate Risk</w:t>
    </w:r>
    <w:r>
      <w:rPr>
        <w:rFonts w:ascii="Calibri" w:cs="Calibri" w:eastAsia="Calibri" w:hAnsi="Calibri"/>
        <w:color w:val="71717A"/>
        <w:sz w:val="18"/>
        <w:szCs w:val="18"/>
      </w:rPr>
      <w:t xml:space="preserve">  |  Website Documentation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4E4E7" w:sz="1" w:space="4"/>
      </w:pBdr>
    </w:pPr>
    <w:r>
      <w:rPr>
        <w:rFonts w:ascii="Calibri" w:cs="Calibri" w:eastAsia="Calibri" w:hAnsi="Calibri"/>
        <w:b/>
        <w:bCs/>
        <w:color w:val="2525FF"/>
        <w:sz w:val="18"/>
        <w:szCs w:val="18"/>
      </w:rPr>
      <w:t xml:space="preserve">Open Climate Risk</w:t>
    </w:r>
    <w:r>
      <w:rPr>
        <w:rFonts w:ascii="Calibri" w:cs="Calibri" w:eastAsia="Calibri" w:hAnsi="Calibri"/>
        <w:color w:val="71717A"/>
        <w:sz w:val="18"/>
        <w:szCs w:val="18"/>
      </w:rPr>
      <w:t xml:space="preserve">  |  Website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Calibri" w:cs="Calibri" w:eastAsia="Calibri" w:hAnsi="Calibri"/>
      <w:b/>
      <w:bCs/>
      <w:color w:val="18181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Calibri" w:cs="Calibri" w:eastAsia="Calibri" w:hAnsi="Calibri"/>
      <w:b/>
      <w:bCs/>
      <w:color w:val="18181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image" Target="media/876b99406cce869d80e34765afca9f4de3fe4714.png"/><Relationship Id="rId12" Type="http://schemas.openxmlformats.org/officeDocument/2006/relationships/image" Target="media/59b0c2f37fcb3bc2472949a0c64ac8f3fc950b34.png"/><Relationship Id="rId13" Type="http://schemas.openxmlformats.org/officeDocument/2006/relationships/image" Target="media/0a7ef12d83b8db2a167438eeb43306417937343d.png"/><Relationship Id="rId14" Type="http://schemas.openxmlformats.org/officeDocument/2006/relationships/image" Target="media/77a7492bc6c9a197d5a4dc52813dc24127b667f3.png"/><Relationship Id="rId15" Type="http://schemas.openxmlformats.org/officeDocument/2006/relationships/image" Target="media/8a4dc3497af4e5695b8375c8f2999d789c7b7558.png"/><Relationship Id="rId16" Type="http://schemas.openxmlformats.org/officeDocument/2006/relationships/image" Target="media/5d4fabc3b1824d2ebba25f459bc1ac58024d9328.png"/><Relationship Id="rId17" Type="http://schemas.openxmlformats.org/officeDocument/2006/relationships/image" Target="media/a40ff1bd877a9f54256613ff91ee8608bc48c4e8.png"/><Relationship Id="rId18" Type="http://schemas.openxmlformats.org/officeDocument/2006/relationships/image" Target="media/7818dfaf4d30b203873a1f0d58907212b937b0c1.png"/><Relationship Id="rId19" Type="http://schemas.openxmlformats.org/officeDocument/2006/relationships/image" Target="media/192e84e1c4c28350274643ffa786239cb98ca7e4.png"/><Relationship Id="rId20" Type="http://schemas.openxmlformats.org/officeDocument/2006/relationships/image" Target="media/f4f7d96fa25efe2c9d3822edef098070faeb1983.png"/><Relationship Id="rId2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2026-03-15T14:40:16.942Z</dcterms:created>
  <dcterms:modified xsi:type="dcterms:W3CDTF">2026-03-15T14:40:16.943Z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