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089B" w14:textId="0CFDA68A" w:rsidR="00723145" w:rsidRPr="00723145" w:rsidRDefault="00723145" w:rsidP="00723145">
      <w:r>
        <w:t xml:space="preserve">5.2 </w:t>
      </w:r>
      <w:r w:rsidRPr="00723145">
        <w:t>Bases de Cotización o Pliegos de Condiciones</w:t>
      </w:r>
    </w:p>
    <w:p w14:paraId="25E17BEB" w14:textId="77777777" w:rsidR="008F21EE" w:rsidRPr="008F21EE" w:rsidRDefault="008F21EE" w:rsidP="008F21EE">
      <w:r w:rsidRPr="008F21EE">
        <w:t>Introducción En la dirección de proyectos, la documentación técnica es la hoja de ruta que convierte el diseño en una realidad operativa. Las Bases de Cotización o Pliegos de Condiciones son el manual de reglas del juego: definen con precisión qué se necesita, cómo debe ejecutarse y bajo qué estándares de calidad se aceptará el trabajo. Son fundamentales porque eliminan la improvisación y garantizan que el equipo y los proveedores hablen el mismo idioma técnico.</w:t>
      </w:r>
    </w:p>
    <w:p w14:paraId="565BB39F" w14:textId="77777777" w:rsidR="008F21EE" w:rsidRPr="008F21EE" w:rsidRDefault="008F21EE" w:rsidP="008F21EE">
      <w:r w:rsidRPr="008F21EE">
        <w:pict w14:anchorId="1D1DE345">
          <v:rect id="_x0000_i1169" style="width:0;height:1.5pt" o:hralign="center" o:hrstd="t" o:hr="t" fillcolor="#a0a0a0" stroked="f"/>
        </w:pict>
      </w:r>
    </w:p>
    <w:p w14:paraId="1706BF05" w14:textId="77777777" w:rsidR="008F21EE" w:rsidRPr="008F21EE" w:rsidRDefault="008F21EE" w:rsidP="008F21EE">
      <w:r w:rsidRPr="008F21EE">
        <w:t>Desarrollo del Contenido El propósito principal de estos documentos es estandarizar cómo se solicitan y comparan las propuestas, asegurando que todos compitan bajo las mismas reglas y permitiendo elegir la mejor opción técnica y financiera.</w:t>
      </w:r>
    </w:p>
    <w:p w14:paraId="78DAD7A3" w14:textId="77777777" w:rsidR="008F21EE" w:rsidRPr="008F21EE" w:rsidRDefault="008F21EE" w:rsidP="008F21EE">
      <w:r w:rsidRPr="008F21EE">
        <w:t>Estructura y Componentes Clave Un pliego debe dividir claramente sus requerimientos en condiciones habilitantes (cumple/no cumple) y factores de escogencia (otorgan puntaje). Sus partes son:</w:t>
      </w:r>
    </w:p>
    <w:p w14:paraId="7E8F8A96" w14:textId="77777777" w:rsidR="008F21EE" w:rsidRPr="008F21EE" w:rsidRDefault="008F21EE" w:rsidP="008F21EE">
      <w:pPr>
        <w:numPr>
          <w:ilvl w:val="0"/>
          <w:numId w:val="7"/>
        </w:numPr>
      </w:pPr>
      <w:r w:rsidRPr="008F21EE">
        <w:t>Objeto del proyecto: Descripción del equipo, sistema o servicio requerido.</w:t>
      </w:r>
    </w:p>
    <w:p w14:paraId="63C49ECA" w14:textId="77777777" w:rsidR="008F21EE" w:rsidRPr="008F21EE" w:rsidRDefault="008F21EE" w:rsidP="008F21EE">
      <w:pPr>
        <w:numPr>
          <w:ilvl w:val="0"/>
          <w:numId w:val="7"/>
        </w:numPr>
      </w:pPr>
      <w:r w:rsidRPr="008F21EE">
        <w:t>Especificaciones técnicas: Detalle de materiales, normas de fabricación y pruebas exigidas.</w:t>
      </w:r>
    </w:p>
    <w:p w14:paraId="090CA6CB" w14:textId="77777777" w:rsidR="008F21EE" w:rsidRPr="008F21EE" w:rsidRDefault="008F21EE" w:rsidP="008F21EE">
      <w:pPr>
        <w:numPr>
          <w:ilvl w:val="0"/>
          <w:numId w:val="7"/>
        </w:numPr>
      </w:pPr>
      <w:r w:rsidRPr="008F21EE">
        <w:t>Condiciones económicas: Presupuesto, sistema de precios, plazos de pago por hitos y garantías.</w:t>
      </w:r>
    </w:p>
    <w:p w14:paraId="45677371" w14:textId="77777777" w:rsidR="008F21EE" w:rsidRPr="008F21EE" w:rsidRDefault="008F21EE" w:rsidP="008F21EE">
      <w:pPr>
        <w:numPr>
          <w:ilvl w:val="0"/>
          <w:numId w:val="7"/>
        </w:numPr>
      </w:pPr>
      <w:r w:rsidRPr="008F21EE">
        <w:t>Aspectos administrativos: Cronograma, perfil técnico del contratista y causales de rechazo.</w:t>
      </w:r>
    </w:p>
    <w:p w14:paraId="2CC48AA5" w14:textId="77777777" w:rsidR="008F21EE" w:rsidRPr="008F21EE" w:rsidRDefault="008F21EE" w:rsidP="008F21EE">
      <w:pPr>
        <w:numPr>
          <w:ilvl w:val="0"/>
          <w:numId w:val="7"/>
        </w:numPr>
      </w:pPr>
      <w:r w:rsidRPr="008F21EE">
        <w:t>Criterios de evaluación: Factores medibles para calificar las ofertas (ej. experiencia o calidad extra).</w:t>
      </w:r>
    </w:p>
    <w:p w14:paraId="0B07B88E" w14:textId="77777777" w:rsidR="008F21EE" w:rsidRPr="008F21EE" w:rsidRDefault="008F21EE" w:rsidP="008F21EE">
      <w:r w:rsidRPr="008F21EE">
        <w:t>Aplicación en la Ingeniería Los pliegos "blindan" el proyecto contra materiales de baja calidad o fallos prematuros:</w:t>
      </w:r>
    </w:p>
    <w:p w14:paraId="423FE68B" w14:textId="77777777" w:rsidR="008F21EE" w:rsidRPr="008F21EE" w:rsidRDefault="008F21EE" w:rsidP="008F21EE">
      <w:pPr>
        <w:numPr>
          <w:ilvl w:val="0"/>
          <w:numId w:val="8"/>
        </w:numPr>
      </w:pPr>
      <w:r w:rsidRPr="008F21EE">
        <w:t>Calderas: Especifican el espesor del acero y pruebas de presión obligatorias.</w:t>
      </w:r>
    </w:p>
    <w:p w14:paraId="287C3CDD" w14:textId="77777777" w:rsidR="008F21EE" w:rsidRPr="008F21EE" w:rsidRDefault="008F21EE" w:rsidP="008F21EE">
      <w:pPr>
        <w:numPr>
          <w:ilvl w:val="0"/>
          <w:numId w:val="8"/>
        </w:numPr>
      </w:pPr>
      <w:r w:rsidRPr="008F21EE">
        <w:t>Bombas de fluidos: Definen el material de los sellos mecánicos para evitar fugas.</w:t>
      </w:r>
    </w:p>
    <w:p w14:paraId="4137A002" w14:textId="77777777" w:rsidR="008F21EE" w:rsidRPr="008F21EE" w:rsidRDefault="008F21EE" w:rsidP="008F21EE">
      <w:pPr>
        <w:numPr>
          <w:ilvl w:val="0"/>
          <w:numId w:val="8"/>
        </w:numPr>
      </w:pPr>
      <w:r w:rsidRPr="008F21EE">
        <w:t>Turbinas: Establecen las tolerancias de alineación exactas y exigen personal certificado.</w:t>
      </w:r>
    </w:p>
    <w:p w14:paraId="0E024FA3" w14:textId="77777777" w:rsidR="008F21EE" w:rsidRPr="008F21EE" w:rsidRDefault="008F21EE" w:rsidP="008F21EE">
      <w:r w:rsidRPr="008F21EE">
        <w:t>Pliegos Sastre vs. Pliegos Tipo</w:t>
      </w:r>
    </w:p>
    <w:p w14:paraId="09B5CAB4" w14:textId="77777777" w:rsidR="008F21EE" w:rsidRPr="008F21EE" w:rsidRDefault="008F21EE" w:rsidP="008F21EE">
      <w:pPr>
        <w:numPr>
          <w:ilvl w:val="0"/>
          <w:numId w:val="9"/>
        </w:numPr>
      </w:pPr>
      <w:r w:rsidRPr="008F21EE">
        <w:t>Pliegos Sastre (El Problema): Son bases amañadas con requisitos tan restrictivos que están hechas a la medida para favorecer a un solo contratista, fomentando la corrupción.</w:t>
      </w:r>
    </w:p>
    <w:p w14:paraId="1E2E0E7E" w14:textId="77777777" w:rsidR="008F21EE" w:rsidRPr="008F21EE" w:rsidRDefault="008F21EE" w:rsidP="008F21EE">
      <w:pPr>
        <w:numPr>
          <w:ilvl w:val="0"/>
          <w:numId w:val="9"/>
        </w:numPr>
      </w:pPr>
      <w:r w:rsidRPr="008F21EE">
        <w:lastRenderedPageBreak/>
        <w:t>Pliegos Tipo (La Solución): Son formatos estandarizados por el gobierno o la industria que garantizan la transparencia, eliminan la manipulación de requisitos y aseguran la libre competencia.</w:t>
      </w:r>
    </w:p>
    <w:p w14:paraId="67EECCF7" w14:textId="77777777" w:rsidR="008F21EE" w:rsidRPr="008F21EE" w:rsidRDefault="008F21EE" w:rsidP="008F21EE">
      <w:r w:rsidRPr="008F21EE">
        <w:pict w14:anchorId="1EA48EF5">
          <v:rect id="_x0000_i1170" style="width:0;height:1.5pt" o:hralign="center" o:hrstd="t" o:hr="t" fillcolor="#a0a0a0" stroked="f"/>
        </w:pict>
      </w:r>
    </w:p>
    <w:p w14:paraId="4F3A0DB9" w14:textId="77777777" w:rsidR="008F21EE" w:rsidRPr="008F21EE" w:rsidRDefault="008F21EE" w:rsidP="008F21EE">
      <w:r w:rsidRPr="008F21EE">
        <w:t>Conclusiones</w:t>
      </w:r>
    </w:p>
    <w:p w14:paraId="012D64ED" w14:textId="77777777" w:rsidR="008F21EE" w:rsidRPr="008F21EE" w:rsidRDefault="008F21EE" w:rsidP="008F21EE">
      <w:pPr>
        <w:numPr>
          <w:ilvl w:val="0"/>
          <w:numId w:val="10"/>
        </w:numPr>
      </w:pPr>
      <w:r w:rsidRPr="008F21EE">
        <w:t>Protección del Proyecto: Los pliegos previenen sobrecostos al detallar especificaciones estrictas y atar los pagos al cumplimiento de hitos operativos.</w:t>
      </w:r>
    </w:p>
    <w:p w14:paraId="45858F18" w14:textId="77777777" w:rsidR="008F21EE" w:rsidRPr="008F21EE" w:rsidRDefault="008F21EE" w:rsidP="008F21EE">
      <w:pPr>
        <w:numPr>
          <w:ilvl w:val="0"/>
          <w:numId w:val="10"/>
        </w:numPr>
      </w:pPr>
      <w:r w:rsidRPr="008F21EE">
        <w:t>Estandarización y Transparencia: El uso de "Pliegos Tipo" es indispensable para evitar la corrupción de los "Pliegos Sastre".</w:t>
      </w:r>
    </w:p>
    <w:p w14:paraId="2FCF7200" w14:textId="77777777" w:rsidR="008F21EE" w:rsidRPr="008F21EE" w:rsidRDefault="008F21EE" w:rsidP="008F21EE">
      <w:pPr>
        <w:numPr>
          <w:ilvl w:val="0"/>
          <w:numId w:val="10"/>
        </w:numPr>
      </w:pPr>
      <w:r w:rsidRPr="008F21EE">
        <w:t>Jerarquía Documental: En caso de disputa, las reglas establecidas en el pliego prevalecen sobre el contrato final, ya que son la base sobre la cual se negoció.</w:t>
      </w:r>
    </w:p>
    <w:p w14:paraId="4455269E" w14:textId="77777777" w:rsidR="008F21EE" w:rsidRPr="008F21EE" w:rsidRDefault="008F21EE" w:rsidP="008F21EE">
      <w:r w:rsidRPr="008F21EE">
        <w:pict w14:anchorId="2A0D0C05">
          <v:rect id="_x0000_i1171" style="width:0;height:1.5pt" o:hralign="center" o:hrstd="t" o:hr="t" fillcolor="#a0a0a0" stroked="f"/>
        </w:pict>
      </w:r>
    </w:p>
    <w:p w14:paraId="11B75338" w14:textId="77777777" w:rsidR="008F21EE" w:rsidRPr="008F21EE" w:rsidRDefault="008F21EE" w:rsidP="008F21EE">
      <w:r w:rsidRPr="008F21EE">
        <w:t>Ejercicio Práctico Escenario: Debes redactar las bases de cotización para instalar una bomba industrial. Instrucciones: Define lo siguiente de forma breve:</w:t>
      </w:r>
    </w:p>
    <w:p w14:paraId="41003A53" w14:textId="77777777" w:rsidR="008F21EE" w:rsidRPr="008F21EE" w:rsidRDefault="008F21EE" w:rsidP="008F21EE">
      <w:pPr>
        <w:numPr>
          <w:ilvl w:val="0"/>
          <w:numId w:val="11"/>
        </w:numPr>
      </w:pPr>
      <w:r w:rsidRPr="008F21EE">
        <w:t>Requisito Habilitante: Una condición indispensable legal o financiera (ej. solvencia fiscal).</w:t>
      </w:r>
    </w:p>
    <w:p w14:paraId="40CA57B9" w14:textId="77777777" w:rsidR="008F21EE" w:rsidRPr="008F21EE" w:rsidRDefault="008F21EE" w:rsidP="008F21EE">
      <w:pPr>
        <w:numPr>
          <w:ilvl w:val="0"/>
          <w:numId w:val="11"/>
        </w:numPr>
      </w:pPr>
      <w:r w:rsidRPr="008F21EE">
        <w:t>Especificación Técnica: Un requisito estricto de los materiales de la bomba.</w:t>
      </w:r>
    </w:p>
    <w:p w14:paraId="2D941851" w14:textId="77777777" w:rsidR="008F21EE" w:rsidRPr="008F21EE" w:rsidRDefault="008F21EE" w:rsidP="008F21EE">
      <w:pPr>
        <w:numPr>
          <w:ilvl w:val="0"/>
          <w:numId w:val="11"/>
        </w:numPr>
      </w:pPr>
      <w:r w:rsidRPr="008F21EE">
        <w:t>Factor de Evaluación: Un criterio que le dará puntos extra al proveedor (ej. ofrecer 2 años de garantía en lugar de 1).</w:t>
      </w:r>
    </w:p>
    <w:p w14:paraId="2575B98A" w14:textId="77777777" w:rsidR="008F21EE" w:rsidRPr="008F21EE" w:rsidRDefault="008F21EE" w:rsidP="008F21EE">
      <w:r w:rsidRPr="008F21EE">
        <w:pict w14:anchorId="5192EC70">
          <v:rect id="_x0000_i1172" style="width:0;height:1.5pt" o:hralign="center" o:hrstd="t" o:hr="t" fillcolor="#a0a0a0" stroked="f"/>
        </w:pict>
      </w:r>
    </w:p>
    <w:p w14:paraId="305B9C01" w14:textId="77777777" w:rsidR="008F21EE" w:rsidRPr="008F21EE" w:rsidRDefault="008F21EE" w:rsidP="008F21EE">
      <w:r w:rsidRPr="008F21EE">
        <w:t>Guía de Estudio (Resumen Ejecutivo)</w:t>
      </w:r>
    </w:p>
    <w:p w14:paraId="457CA708" w14:textId="77777777" w:rsidR="008F21EE" w:rsidRPr="008F21EE" w:rsidRDefault="008F21EE" w:rsidP="008F21EE">
      <w:pPr>
        <w:numPr>
          <w:ilvl w:val="0"/>
          <w:numId w:val="12"/>
        </w:numPr>
      </w:pPr>
      <w:r w:rsidRPr="008F21EE">
        <w:t>Definición: Documentos que rigen el proceso de selección y detallan las exigencias técnicas y económicas.</w:t>
      </w:r>
    </w:p>
    <w:p w14:paraId="5A20C17C" w14:textId="77777777" w:rsidR="008F21EE" w:rsidRPr="008F21EE" w:rsidRDefault="008F21EE" w:rsidP="008F21EE">
      <w:pPr>
        <w:numPr>
          <w:ilvl w:val="0"/>
          <w:numId w:val="12"/>
        </w:numPr>
      </w:pPr>
      <w:r w:rsidRPr="008F21EE">
        <w:t>Clasificación de Requisitos: Se dividen en habilitantes (filtran empresas) y de escogencia (dan puntos para ganar).</w:t>
      </w:r>
    </w:p>
    <w:p w14:paraId="35AB9B3F" w14:textId="77777777" w:rsidR="008F21EE" w:rsidRPr="008F21EE" w:rsidRDefault="008F21EE" w:rsidP="008F21EE">
      <w:pPr>
        <w:numPr>
          <w:ilvl w:val="0"/>
          <w:numId w:val="12"/>
        </w:numPr>
      </w:pPr>
      <w:r w:rsidRPr="008F21EE">
        <w:t>Ética: Los pliegos tipo combaten a los pliegos sastre.</w:t>
      </w:r>
    </w:p>
    <w:p w14:paraId="136F9AA1" w14:textId="77777777" w:rsidR="008F21EE" w:rsidRPr="008F21EE" w:rsidRDefault="008F21EE" w:rsidP="008F21EE">
      <w:pPr>
        <w:numPr>
          <w:ilvl w:val="0"/>
          <w:numId w:val="12"/>
        </w:numPr>
      </w:pPr>
      <w:r w:rsidRPr="008F21EE">
        <w:t>Adendas: Es el mecanismo oficial para modificar fechas o aclarar dudas antes de recibir las propuestas.</w:t>
      </w:r>
    </w:p>
    <w:p w14:paraId="3B8BC4B1" w14:textId="77777777" w:rsidR="008F21EE" w:rsidRPr="008F21EE" w:rsidRDefault="008F21EE" w:rsidP="008F21EE">
      <w:r w:rsidRPr="008F21EE">
        <w:pict w14:anchorId="0C856F9D">
          <v:rect id="_x0000_i1173" style="width:0;height:1.5pt" o:hralign="center" o:hrstd="t" o:hr="t" fillcolor="#a0a0a0" stroked="f"/>
        </w:pict>
      </w:r>
    </w:p>
    <w:p w14:paraId="7C058899" w14:textId="77777777" w:rsidR="008F21EE" w:rsidRPr="008F21EE" w:rsidRDefault="008F21EE" w:rsidP="008F21EE">
      <w:r w:rsidRPr="008F21EE">
        <w:t>Glosario Técnico</w:t>
      </w:r>
    </w:p>
    <w:p w14:paraId="7B564EAA" w14:textId="77777777" w:rsidR="008F21EE" w:rsidRPr="008F21EE" w:rsidRDefault="008F21EE" w:rsidP="008F21EE">
      <w:pPr>
        <w:numPr>
          <w:ilvl w:val="0"/>
          <w:numId w:val="13"/>
        </w:numPr>
      </w:pPr>
      <w:r w:rsidRPr="008F21EE">
        <w:lastRenderedPageBreak/>
        <w:t>Adenda: Modificación oficial a las bases para aclarar dudas o cambiar fechas antes del cierre de recepción de ofertas.</w:t>
      </w:r>
    </w:p>
    <w:p w14:paraId="3914BDFA" w14:textId="77777777" w:rsidR="008F21EE" w:rsidRPr="008F21EE" w:rsidRDefault="008F21EE" w:rsidP="008F21EE">
      <w:pPr>
        <w:numPr>
          <w:ilvl w:val="0"/>
          <w:numId w:val="13"/>
        </w:numPr>
      </w:pPr>
      <w:r w:rsidRPr="008F21EE">
        <w:t>Hitos Operativos: Puntos de control en el proyecto que, al cumplirse, habilitan el pago al contratista.</w:t>
      </w:r>
    </w:p>
    <w:p w14:paraId="6BC90126" w14:textId="77777777" w:rsidR="008F21EE" w:rsidRPr="008F21EE" w:rsidRDefault="008F21EE" w:rsidP="008F21EE">
      <w:pPr>
        <w:numPr>
          <w:ilvl w:val="0"/>
          <w:numId w:val="13"/>
        </w:numPr>
      </w:pPr>
      <w:r w:rsidRPr="008F21EE">
        <w:t>Pliego Tipo: Bases estandarizadas que evitan la manipulación de requisitos.</w:t>
      </w:r>
    </w:p>
    <w:p w14:paraId="193E0D23" w14:textId="77777777" w:rsidR="008F21EE" w:rsidRPr="008F21EE" w:rsidRDefault="008F21EE" w:rsidP="008F21EE">
      <w:pPr>
        <w:numPr>
          <w:ilvl w:val="0"/>
          <w:numId w:val="13"/>
        </w:numPr>
      </w:pPr>
      <w:r w:rsidRPr="008F21EE">
        <w:t>Pliego Sastre: Bases corruptas diseñadas para favorecer a un proveedor específico.</w:t>
      </w:r>
    </w:p>
    <w:p w14:paraId="7C8AB4C7" w14:textId="77777777" w:rsidR="008F21EE" w:rsidRPr="008F21EE" w:rsidRDefault="008F21EE" w:rsidP="008F21EE">
      <w:pPr>
        <w:numPr>
          <w:ilvl w:val="0"/>
          <w:numId w:val="13"/>
        </w:numPr>
      </w:pPr>
      <w:r w:rsidRPr="008F21EE">
        <w:t>Tolerancias de Alineación: Margen de error milimétrico permitido en el montaje de maquinaria.</w:t>
      </w:r>
    </w:p>
    <w:p w14:paraId="704637EB" w14:textId="77777777" w:rsidR="008F21EE" w:rsidRPr="008F21EE" w:rsidRDefault="008F21EE" w:rsidP="008F21EE">
      <w:r w:rsidRPr="008F21EE">
        <w:pict w14:anchorId="7617953A">
          <v:rect id="_x0000_i1174" style="width:0;height:1.5pt" o:hralign="center" o:hrstd="t" o:hr="t" fillcolor="#a0a0a0" stroked="f"/>
        </w:pict>
      </w:r>
    </w:p>
    <w:p w14:paraId="50DC1580" w14:textId="77777777" w:rsidR="008F21EE" w:rsidRPr="008F21EE" w:rsidRDefault="008F21EE" w:rsidP="008F21EE">
      <w:r w:rsidRPr="008F21EE">
        <w:t>Evaluación Técnica (</w:t>
      </w:r>
      <w:proofErr w:type="spellStart"/>
      <w:r w:rsidRPr="008F21EE">
        <w:t>Quizz</w:t>
      </w:r>
      <w:proofErr w:type="spellEnd"/>
      <w:r w:rsidRPr="008F21EE">
        <w:t>)</w:t>
      </w:r>
    </w:p>
    <w:p w14:paraId="2631B554" w14:textId="77777777" w:rsidR="008F21EE" w:rsidRPr="008F21EE" w:rsidRDefault="008F21EE" w:rsidP="008F21EE">
      <w:r w:rsidRPr="008F21EE">
        <w:t>A. ¿Cuál es la diferencia principal entre un Requisito Habilitante y un Factor de Escogencia? a) El habilitante da puntos; el de escogencia no. b) El habilitante solo filtra (cumple/no cumple); el de escogencia otorga puntos para elegir al ganador. c) Son exactamente lo mismo.</w:t>
      </w:r>
    </w:p>
    <w:p w14:paraId="5C062B95" w14:textId="77777777" w:rsidR="008F21EE" w:rsidRPr="008F21EE" w:rsidRDefault="008F21EE" w:rsidP="008F21EE">
      <w:r w:rsidRPr="008F21EE">
        <w:t>B. Si el proyecto exige maquinaria de "Marca XYZ, modelo 2024, color azul", estamos ante un posible: a) Pliego Tipo. b) Pliego Sastre. c) Hito Operativo.</w:t>
      </w:r>
    </w:p>
    <w:p w14:paraId="73C2EBB0" w14:textId="77777777" w:rsidR="008F21EE" w:rsidRPr="008F21EE" w:rsidRDefault="008F21EE" w:rsidP="008F21EE">
      <w:r w:rsidRPr="008F21EE">
        <w:t>C. ¿Qué documento se emite para corregir un error en el cronograma de las bases de cotización antes de recibir las ofertas? a) Una Adenda. b) Un nuevo Pliego Sastre. c) Un contrato rectificado.</w:t>
      </w:r>
    </w:p>
    <w:p w14:paraId="17D8A2BF" w14:textId="77777777" w:rsidR="008F21EE" w:rsidRPr="008F21EE" w:rsidRDefault="008F21EE" w:rsidP="008F21EE">
      <w:r w:rsidRPr="008F21EE">
        <w:t>(Respuestas correctas: A: b | B: b | C: a)</w:t>
      </w:r>
    </w:p>
    <w:p w14:paraId="6CE82AC3" w14:textId="77777777" w:rsidR="008F21EE" w:rsidRPr="008F21EE" w:rsidRDefault="008F21EE" w:rsidP="008F21EE">
      <w:r w:rsidRPr="008F21EE">
        <w:pict w14:anchorId="01C4BEF2">
          <v:rect id="_x0000_i1175" style="width:0;height:1.5pt" o:hralign="center" o:hrstd="t" o:hr="t" fillcolor="#a0a0a0" stroked="f"/>
        </w:pict>
      </w:r>
    </w:p>
    <w:p w14:paraId="21BD6F95" w14:textId="77777777" w:rsidR="008F21EE" w:rsidRPr="008F21EE" w:rsidRDefault="008F21EE" w:rsidP="008F21EE">
      <w:r w:rsidRPr="008F21EE">
        <w:t>Bibliografía</w:t>
      </w:r>
    </w:p>
    <w:p w14:paraId="7B6E5A9A" w14:textId="77777777" w:rsidR="008F21EE" w:rsidRPr="008F21EE" w:rsidRDefault="008F21EE" w:rsidP="008F21EE">
      <w:pPr>
        <w:numPr>
          <w:ilvl w:val="0"/>
          <w:numId w:val="14"/>
        </w:numPr>
      </w:pPr>
      <w:r w:rsidRPr="008F21EE">
        <w:t>López Gómez, W. A. (2025). Bases de Cotización o Pliego de Condiciones. Documento de investigación.</w:t>
      </w:r>
    </w:p>
    <w:p w14:paraId="5396BDFB" w14:textId="77777777" w:rsidR="008F21EE" w:rsidRPr="008F21EE" w:rsidRDefault="008F21EE" w:rsidP="008F21EE">
      <w:pPr>
        <w:numPr>
          <w:ilvl w:val="0"/>
          <w:numId w:val="14"/>
        </w:numPr>
      </w:pPr>
      <w:r w:rsidRPr="008F21EE">
        <w:t>Peñaloza Chacón, M. M. (2022). Los pliegos tipo y su aplicación conforme al principio de transparencia en la contratación estatal. Universidad Militar Nueva Granada.</w:t>
      </w:r>
    </w:p>
    <w:p w14:paraId="59031FB9" w14:textId="77777777" w:rsidR="008F21EE" w:rsidRPr="008F21EE" w:rsidRDefault="008F21EE" w:rsidP="008F21EE">
      <w:pPr>
        <w:numPr>
          <w:ilvl w:val="0"/>
          <w:numId w:val="14"/>
        </w:numPr>
      </w:pPr>
      <w:r w:rsidRPr="008F21EE">
        <w:t>Pinzón Téllez, J. M., &amp; Romero Cespedes, W. S. (2021). Los pliegos de condiciones en el contrato de obra. Revista IUSTA.</w:t>
      </w:r>
    </w:p>
    <w:p w14:paraId="67E4D85E" w14:textId="77777777" w:rsidR="008F21EE" w:rsidRPr="008F21EE" w:rsidRDefault="008F21EE" w:rsidP="008F21EE">
      <w:r w:rsidRPr="008F21EE">
        <w:pict w14:anchorId="73DDFA8A">
          <v:rect id="_x0000_i1176" style="width:0;height:1.5pt" o:hralign="center" o:hrstd="t" o:hr="t" fillcolor="#a0a0a0" stroked="f"/>
        </w:pict>
      </w:r>
    </w:p>
    <w:p w14:paraId="514D7805" w14:textId="77777777" w:rsidR="008F21EE" w:rsidRPr="008F21EE" w:rsidRDefault="008F21EE" w:rsidP="008F21EE">
      <w:r w:rsidRPr="008F21EE">
        <w:t>Realizado por: 202330360 Willy Alexander López Gómez</w:t>
      </w:r>
    </w:p>
    <w:p w14:paraId="6E665169" w14:textId="77777777" w:rsidR="00F15433" w:rsidRDefault="00F15433"/>
    <w:sectPr w:rsidR="00F154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309"/>
    <w:multiLevelType w:val="multilevel"/>
    <w:tmpl w:val="8572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748C4"/>
    <w:multiLevelType w:val="multilevel"/>
    <w:tmpl w:val="70F0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0738F"/>
    <w:multiLevelType w:val="multilevel"/>
    <w:tmpl w:val="03D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21198"/>
    <w:multiLevelType w:val="multilevel"/>
    <w:tmpl w:val="4DB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5" w15:restartNumberingAfterBreak="0">
    <w:nsid w:val="36715569"/>
    <w:multiLevelType w:val="multilevel"/>
    <w:tmpl w:val="DA2E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776EF"/>
    <w:multiLevelType w:val="multilevel"/>
    <w:tmpl w:val="F7E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73E29"/>
    <w:multiLevelType w:val="multilevel"/>
    <w:tmpl w:val="EEA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5368B"/>
    <w:multiLevelType w:val="multilevel"/>
    <w:tmpl w:val="74EE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7201C"/>
    <w:multiLevelType w:val="multilevel"/>
    <w:tmpl w:val="2EE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84010"/>
    <w:multiLevelType w:val="multilevel"/>
    <w:tmpl w:val="B198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821BB"/>
    <w:multiLevelType w:val="multilevel"/>
    <w:tmpl w:val="575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4041C4"/>
    <w:multiLevelType w:val="multilevel"/>
    <w:tmpl w:val="8A4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55824"/>
    <w:multiLevelType w:val="multilevel"/>
    <w:tmpl w:val="6686AFC8"/>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9055643">
    <w:abstractNumId w:val="4"/>
  </w:num>
  <w:num w:numId="2" w16cid:durableId="468016567">
    <w:abstractNumId w:val="13"/>
  </w:num>
  <w:num w:numId="3" w16cid:durableId="202256325">
    <w:abstractNumId w:val="0"/>
    <w:lvlOverride w:ilvl="0"/>
    <w:lvlOverride w:ilvl="1"/>
    <w:lvlOverride w:ilvl="2"/>
    <w:lvlOverride w:ilvl="3"/>
    <w:lvlOverride w:ilvl="4"/>
    <w:lvlOverride w:ilvl="5"/>
    <w:lvlOverride w:ilvl="6"/>
    <w:lvlOverride w:ilvl="7"/>
    <w:lvlOverride w:ilvl="8"/>
  </w:num>
  <w:num w:numId="4" w16cid:durableId="1324316013">
    <w:abstractNumId w:val="5"/>
    <w:lvlOverride w:ilvl="0"/>
    <w:lvlOverride w:ilvl="1"/>
    <w:lvlOverride w:ilvl="2"/>
    <w:lvlOverride w:ilvl="3"/>
    <w:lvlOverride w:ilvl="4"/>
    <w:lvlOverride w:ilvl="5"/>
    <w:lvlOverride w:ilvl="6"/>
    <w:lvlOverride w:ilvl="7"/>
    <w:lvlOverride w:ilvl="8"/>
  </w:num>
  <w:num w:numId="5" w16cid:durableId="1934435478">
    <w:abstractNumId w:val="10"/>
    <w:lvlOverride w:ilvl="0"/>
    <w:lvlOverride w:ilvl="1"/>
    <w:lvlOverride w:ilvl="2"/>
    <w:lvlOverride w:ilvl="3"/>
    <w:lvlOverride w:ilvl="4"/>
    <w:lvlOverride w:ilvl="5"/>
    <w:lvlOverride w:ilvl="6"/>
    <w:lvlOverride w:ilvl="7"/>
    <w:lvlOverride w:ilvl="8"/>
  </w:num>
  <w:num w:numId="6" w16cid:durableId="1493566863">
    <w:abstractNumId w:val="1"/>
    <w:lvlOverride w:ilvl="0"/>
    <w:lvlOverride w:ilvl="1"/>
    <w:lvlOverride w:ilvl="2"/>
    <w:lvlOverride w:ilvl="3"/>
    <w:lvlOverride w:ilvl="4"/>
    <w:lvlOverride w:ilvl="5"/>
    <w:lvlOverride w:ilvl="6"/>
    <w:lvlOverride w:ilvl="7"/>
    <w:lvlOverride w:ilvl="8"/>
  </w:num>
  <w:num w:numId="7" w16cid:durableId="1901020292">
    <w:abstractNumId w:val="12"/>
  </w:num>
  <w:num w:numId="8" w16cid:durableId="59642419">
    <w:abstractNumId w:val="3"/>
  </w:num>
  <w:num w:numId="9" w16cid:durableId="225458118">
    <w:abstractNumId w:val="9"/>
  </w:num>
  <w:num w:numId="10" w16cid:durableId="297339368">
    <w:abstractNumId w:val="11"/>
  </w:num>
  <w:num w:numId="11" w16cid:durableId="1986932613">
    <w:abstractNumId w:val="8"/>
  </w:num>
  <w:num w:numId="12" w16cid:durableId="533202060">
    <w:abstractNumId w:val="6"/>
  </w:num>
  <w:num w:numId="13" w16cid:durableId="1173568350">
    <w:abstractNumId w:val="2"/>
  </w:num>
  <w:num w:numId="14" w16cid:durableId="485827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9D"/>
    <w:rsid w:val="00285ED3"/>
    <w:rsid w:val="005F2826"/>
    <w:rsid w:val="00670D3F"/>
    <w:rsid w:val="00723145"/>
    <w:rsid w:val="007F4B9D"/>
    <w:rsid w:val="008E6A9C"/>
    <w:rsid w:val="008F21EE"/>
    <w:rsid w:val="00966210"/>
    <w:rsid w:val="009D2FE3"/>
    <w:rsid w:val="00AA729D"/>
    <w:rsid w:val="00AC15F2"/>
    <w:rsid w:val="00C358F6"/>
    <w:rsid w:val="00E05A65"/>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9AF9"/>
  <w15:chartTrackingRefBased/>
  <w15:docId w15:val="{C735D7D9-65F0-4041-A5F6-3BE86961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AA72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72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A729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A72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A729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A729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A729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AA7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7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7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7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7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7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729D"/>
    <w:rPr>
      <w:rFonts w:eastAsiaTheme="majorEastAsia" w:cstheme="majorBidi"/>
      <w:color w:val="272727" w:themeColor="text1" w:themeTint="D8"/>
    </w:rPr>
  </w:style>
  <w:style w:type="paragraph" w:styleId="Ttulo">
    <w:name w:val="Title"/>
    <w:basedOn w:val="Normal"/>
    <w:next w:val="Normal"/>
    <w:link w:val="TtuloCar"/>
    <w:uiPriority w:val="10"/>
    <w:qFormat/>
    <w:rsid w:val="00AA7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7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72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7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729D"/>
    <w:pPr>
      <w:spacing w:before="160"/>
      <w:jc w:val="center"/>
    </w:pPr>
    <w:rPr>
      <w:i/>
      <w:iCs/>
      <w:color w:val="404040" w:themeColor="text1" w:themeTint="BF"/>
    </w:rPr>
  </w:style>
  <w:style w:type="character" w:customStyle="1" w:styleId="CitaCar">
    <w:name w:val="Cita Car"/>
    <w:basedOn w:val="Fuentedeprrafopredeter"/>
    <w:link w:val="Cita"/>
    <w:uiPriority w:val="29"/>
    <w:rsid w:val="00AA729D"/>
    <w:rPr>
      <w:rFonts w:ascii="Times New Roman" w:hAnsi="Times New Roman"/>
      <w:i/>
      <w:iCs/>
      <w:color w:val="404040" w:themeColor="text1" w:themeTint="BF"/>
    </w:rPr>
  </w:style>
  <w:style w:type="paragraph" w:styleId="Prrafodelista">
    <w:name w:val="List Paragraph"/>
    <w:basedOn w:val="Normal"/>
    <w:uiPriority w:val="34"/>
    <w:qFormat/>
    <w:rsid w:val="00AA729D"/>
    <w:pPr>
      <w:ind w:left="720"/>
      <w:contextualSpacing/>
    </w:pPr>
  </w:style>
  <w:style w:type="character" w:styleId="nfasisintenso">
    <w:name w:val="Intense Emphasis"/>
    <w:basedOn w:val="Fuentedeprrafopredeter"/>
    <w:uiPriority w:val="21"/>
    <w:qFormat/>
    <w:rsid w:val="00AA729D"/>
    <w:rPr>
      <w:i/>
      <w:iCs/>
      <w:color w:val="0F4761" w:themeColor="accent1" w:themeShade="BF"/>
    </w:rPr>
  </w:style>
  <w:style w:type="paragraph" w:styleId="Citadestacada">
    <w:name w:val="Intense Quote"/>
    <w:basedOn w:val="Normal"/>
    <w:next w:val="Normal"/>
    <w:link w:val="CitadestacadaCar"/>
    <w:uiPriority w:val="30"/>
    <w:qFormat/>
    <w:rsid w:val="00AA7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729D"/>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AA729D"/>
    <w:rPr>
      <w:b/>
      <w:bCs/>
      <w:smallCaps/>
      <w:color w:val="0F4761" w:themeColor="accent1" w:themeShade="BF"/>
      <w:spacing w:val="5"/>
    </w:rPr>
  </w:style>
  <w:style w:type="character" w:styleId="Hipervnculo">
    <w:name w:val="Hyperlink"/>
    <w:basedOn w:val="Fuentedeprrafopredeter"/>
    <w:uiPriority w:val="99"/>
    <w:unhideWhenUsed/>
    <w:rsid w:val="00AA729D"/>
    <w:rPr>
      <w:color w:val="467886" w:themeColor="hyperlink"/>
      <w:u w:val="single"/>
    </w:rPr>
  </w:style>
  <w:style w:type="character" w:styleId="Mencinsinresolver">
    <w:name w:val="Unresolved Mention"/>
    <w:basedOn w:val="Fuentedeprrafopredeter"/>
    <w:uiPriority w:val="99"/>
    <w:semiHidden/>
    <w:unhideWhenUsed/>
    <w:rsid w:val="00AA7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791</Words>
  <Characters>4355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2026-04-03T00:33:00Z</dcterms:created>
  <dcterms:modified xsi:type="dcterms:W3CDTF">2026-04-03T02:21:00Z</dcterms:modified>
</cp:coreProperties>
</file>