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widowControl/>
        <w:pBdr>
          <w:bottom w:val="single" w:sz="8" w:space="4" w:color="4F81BD"/>
        </w:pBdr>
        <w:suppressAutoHyphens w:val="true"/>
        <w:bidi w:val="0"/>
        <w:spacing w:lineRule="auto" w:line="240" w:before="0" w:after="300"/>
        <w:ind w:left="0" w:right="0" w:hanging="0"/>
        <w:contextualSpacing/>
        <w:jc w:val="center"/>
        <w:rPr>
          <w:rFonts w:ascii="Arial" w:hAnsi="Arial"/>
          <w:b/>
          <w:b/>
          <w:bCs/>
          <w:color w:val="0A1EB5"/>
          <w:sz w:val="28"/>
          <w:szCs w:val="28"/>
        </w:rPr>
      </w:pPr>
      <w:r>
        <w:rPr>
          <w:rFonts w:ascii="Arial" w:hAnsi="Arial"/>
          <w:b/>
          <w:bCs/>
          <w:color w:val="0A1EB5"/>
          <w:sz w:val="28"/>
          <w:szCs w:val="28"/>
        </w:rPr>
        <w:t>Estratégias Nutricionais para Cavalos Idosos: Um Alerta à Saúde e Longevidade Equina</w:t>
      </w:r>
    </w:p>
    <w:p>
      <w:pPr>
        <w:pStyle w:val="Normal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  <w:u w:val="single"/>
        </w:rPr>
        <w:t>Você se preocupa com o bem-estar do seu cavalo depois dos 18 anos?</w:t>
      </w:r>
      <w:r>
        <w:rPr>
          <w:rFonts w:ascii="Arial" w:hAnsi="Arial"/>
          <w:color w:val="0A1EB5"/>
          <w:sz w:val="24"/>
          <w:szCs w:val="24"/>
        </w:rPr>
        <w:t xml:space="preserve"> Muitos criadores ainda ignoram que os cavalos idosos têm exigências nutricionais únicas — e que negligenciá-las é uma das principais causas de perda precoce de vitalidade. Com o envelhecimento, mudanças silenciosas no organismo colocam a saúde do animal em risco, afetando digestão, absorção de nutrientes, função muscular e até comportamento.</w:t>
      </w:r>
    </w:p>
    <w:p>
      <w:pPr>
        <w:pStyle w:val="Normal"/>
        <w:spacing w:lineRule="auto" w:line="36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 xml:space="preserve">Estudos internacionais demonstram que a digestão de fibras pode cair até 25% após os 20 anos (Geor et al., 2013), e a sarcopenia — perda de massa muscular relacionada à idade — afeta diretamente o rendimento, postura e mobilidade do cavalo. Infelizmente, a maioria dos programas de manejo ignora esse processo fisiológico natural, tratando o cavalo sênior como se fosse adulto ativo. </w:t>
      </w:r>
    </w:p>
    <w:p>
      <w:pPr>
        <w:pStyle w:val="Ttulo1"/>
        <w:spacing w:before="309" w:after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Desafios Fisiológicos do Envelhecimento Equino</w:t>
      </w:r>
    </w:p>
    <w:p>
      <w:pPr>
        <w:pStyle w:val="Normal"/>
        <w:spacing w:before="0" w:after="86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p>
      <w:pPr>
        <w:pStyle w:val="Normal"/>
        <w:jc w:val="left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- Redução da digestibilidade, principalmente de fibras e proteínas.</w:t>
        <w:br/>
        <w:t>- Alterações dentárias e dificuldade de mastigação.</w:t>
        <w:br/>
        <w:t>- Perda progressiva de massa muscular (sarcopenia).</w:t>
        <w:br/>
        <w:t>- Declínio na função hepática e imunológica.</w:t>
        <w:br/>
        <w:t>- Aumento do risco de distúrbios metabólicos e inflamatórios crônicos.</w:t>
      </w:r>
    </w:p>
    <w:p>
      <w:pPr>
        <w:pStyle w:val="Ttulo1"/>
        <w:spacing w:before="309" w:after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Nutrientes Estratégicos para Cavalos Seniores</w:t>
      </w:r>
    </w:p>
    <w:p>
      <w:pPr>
        <w:pStyle w:val="Normal"/>
        <w:spacing w:before="81" w:after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p>
      <w:pPr>
        <w:pStyle w:val="Normal"/>
        <w:spacing w:lineRule="auto" w:line="360"/>
        <w:jc w:val="left"/>
        <w:rPr/>
      </w:pPr>
      <w:r>
        <w:rPr>
          <w:rFonts w:ascii="Arial" w:hAnsi="Arial"/>
          <w:color w:val="0A1EB5"/>
          <w:sz w:val="24"/>
          <w:szCs w:val="24"/>
        </w:rPr>
        <w:t>- Proteínas de alto valor biológico: essenciais para reduzir a sarcopenia.</w:t>
        <w:br/>
        <w:t>- Gorduras de boa digestibilidade: energia limpa e sem impacto glicêmico.</w:t>
        <w:br/>
        <w:t>- Antioxidantes (A, C, E + selênio): combate ao estresse oxidativo.</w:t>
        <w:br/>
        <w:t>- Probióticos e prebióticos: suporte à microbiota intestinal enfraquecida.</w:t>
        <w:br/>
        <w:t>- Minerais quelatados: maior absorção em sistemas digestivos debilitados.</w:t>
      </w:r>
    </w:p>
    <w:p>
      <w:pPr>
        <w:pStyle w:val="Ttulo1"/>
        <w:spacing w:lineRule="auto" w:line="360"/>
        <w:jc w:val="left"/>
        <w:rPr/>
      </w:pPr>
      <w:r>
        <w:rPr>
          <w:rFonts w:ascii="Arial" w:hAnsi="Arial"/>
          <w:color w:val="0A1EB5"/>
          <w:sz w:val="24"/>
          <w:szCs w:val="24"/>
        </w:rPr>
        <w:t>Tabela: Estratégias Nutricionais Indicadas</w:t>
      </w:r>
    </w:p>
    <w:p>
      <w:pPr>
        <w:pStyle w:val="Normal"/>
        <w:spacing w:lineRule="auto" w:line="360"/>
        <w:jc w:val="left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0"/>
        <w:gridCol w:w="2549"/>
        <w:gridCol w:w="1425"/>
        <w:gridCol w:w="2670"/>
      </w:tblGrid>
      <w:tr>
        <w:trPr/>
        <w:tc>
          <w:tcPr>
            <w:tcW w:w="2490" w:type="dxa"/>
            <w:tcBorders>
              <w:top w:val="single" w:sz="6" w:space="0" w:color="000000"/>
              <w:bottom w:val="single" w:sz="6" w:space="0" w:color="000000"/>
            </w:tcBorders>
            <w:shd w:fill="65C2F5" w:val="clear"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Estratégia</w:t>
            </w:r>
          </w:p>
        </w:tc>
        <w:tc>
          <w:tcPr>
            <w:tcW w:w="2549" w:type="dxa"/>
            <w:tcBorders>
              <w:top w:val="single" w:sz="6" w:space="0" w:color="000000"/>
              <w:bottom w:val="single" w:sz="6" w:space="0" w:color="000000"/>
            </w:tcBorders>
            <w:shd w:fill="65C2F5" w:val="clear"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Objetivo</w:t>
            </w:r>
          </w:p>
        </w:tc>
        <w:tc>
          <w:tcPr>
            <w:tcW w:w="1425" w:type="dxa"/>
            <w:tcBorders>
              <w:top w:val="single" w:sz="6" w:space="0" w:color="000000"/>
              <w:bottom w:val="single" w:sz="6" w:space="0" w:color="000000"/>
            </w:tcBorders>
            <w:shd w:fill="65C2F5" w:val="clear"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Adaptação</w:t>
            </w:r>
          </w:p>
        </w:tc>
        <w:tc>
          <w:tcPr>
            <w:tcW w:w="2670" w:type="dxa"/>
            <w:tcBorders>
              <w:top w:val="single" w:sz="6" w:space="0" w:color="000000"/>
              <w:bottom w:val="single" w:sz="6" w:space="0" w:color="000000"/>
            </w:tcBorders>
            <w:shd w:fill="65C2F5" w:val="clear"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Evidência Prática</w:t>
            </w:r>
          </w:p>
        </w:tc>
      </w:tr>
      <w:tr>
        <w:trPr/>
        <w:tc>
          <w:tcPr>
            <w:tcW w:w="24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Alimentos extrusados e pastas</w:t>
            </w:r>
          </w:p>
        </w:tc>
        <w:tc>
          <w:tcPr>
            <w:tcW w:w="25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Facilitar mastigação e digestão</w:t>
            </w:r>
          </w:p>
        </w:tc>
        <w:tc>
          <w:tcPr>
            <w:tcW w:w="142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Rápida</w:t>
            </w:r>
          </w:p>
        </w:tc>
        <w:tc>
          <w:tcPr>
            <w:tcW w:w="267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Melhora ingestão em 7 dias</w:t>
            </w:r>
          </w:p>
        </w:tc>
      </w:tr>
      <w:tr>
        <w:trPr/>
        <w:tc>
          <w:tcPr>
            <w:tcW w:w="24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Suplementos lipídicos (óleo vegetal)</w:t>
            </w:r>
          </w:p>
        </w:tc>
        <w:tc>
          <w:tcPr>
            <w:tcW w:w="25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Energia sem fermentação excessiva</w:t>
            </w:r>
          </w:p>
        </w:tc>
        <w:tc>
          <w:tcPr>
            <w:tcW w:w="142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Média</w:t>
            </w:r>
          </w:p>
        </w:tc>
        <w:tc>
          <w:tcPr>
            <w:tcW w:w="267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Reduz perda de peso</w:t>
            </w:r>
          </w:p>
        </w:tc>
      </w:tr>
      <w:tr>
        <w:trPr/>
        <w:tc>
          <w:tcPr>
            <w:tcW w:w="24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Feno de alta qualidade + pré-corte</w:t>
            </w:r>
          </w:p>
        </w:tc>
        <w:tc>
          <w:tcPr>
            <w:tcW w:w="25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Digestibilidade superior</w:t>
            </w:r>
          </w:p>
        </w:tc>
        <w:tc>
          <w:tcPr>
            <w:tcW w:w="142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Imediata</w:t>
            </w:r>
          </w:p>
        </w:tc>
        <w:tc>
          <w:tcPr>
            <w:tcW w:w="267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Menor volume fecal</w:t>
            </w:r>
          </w:p>
        </w:tc>
      </w:tr>
      <w:tr>
        <w:trPr/>
        <w:tc>
          <w:tcPr>
            <w:tcW w:w="24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Leveduras + prebióticos</w:t>
            </w:r>
          </w:p>
        </w:tc>
        <w:tc>
          <w:tcPr>
            <w:tcW w:w="25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Saúde intestinal e absorção</w:t>
            </w:r>
          </w:p>
        </w:tc>
        <w:tc>
          <w:tcPr>
            <w:tcW w:w="142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Lenta (3 a 4 semanas)</w:t>
            </w:r>
          </w:p>
        </w:tc>
        <w:tc>
          <w:tcPr>
            <w:tcW w:w="267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Redução de cólicas</w:t>
            </w:r>
          </w:p>
        </w:tc>
      </w:tr>
      <w:tr>
        <w:trPr/>
        <w:tc>
          <w:tcPr>
            <w:tcW w:w="2490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Ração com proteína digestível</w:t>
            </w:r>
          </w:p>
        </w:tc>
        <w:tc>
          <w:tcPr>
            <w:tcW w:w="2549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Preservar musculatura</w:t>
            </w:r>
          </w:p>
        </w:tc>
        <w:tc>
          <w:tcPr>
            <w:tcW w:w="1425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Média</w:t>
            </w:r>
          </w:p>
        </w:tc>
        <w:tc>
          <w:tcPr>
            <w:tcW w:w="2670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Menor índice de atrofia</w:t>
            </w:r>
          </w:p>
        </w:tc>
      </w:tr>
    </w:tbl>
    <w:p>
      <w:pPr>
        <w:pStyle w:val="Ttulo1"/>
        <w:jc w:val="center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Gráfico: Nutrientes Prioritários</w:t>
      </w:r>
    </w:p>
    <w:p>
      <w:pPr>
        <w:pStyle w:val="Normal"/>
        <w:jc w:val="center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Gráfico 1 –  Nutrientes com Maior Impacto na Senescência.</w:t>
      </w:r>
    </w:p>
    <w:p>
      <w:pPr>
        <w:pStyle w:val="Normal"/>
        <w:jc w:val="center"/>
        <w:rPr>
          <w:rFonts w:ascii="Arial" w:hAnsi="Arial"/>
          <w:color w:val="0A1EB5"/>
          <w:sz w:val="24"/>
          <w:szCs w:val="24"/>
        </w:rPr>
      </w:pPr>
      <w:r>
        <w:rPr/>
        <w:drawing>
          <wp:inline distT="0" distB="0" distL="0" distR="0">
            <wp:extent cx="5699125" cy="30892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spacing w:before="366" w:after="114"/>
        <w:rPr>
          <w:color w:val="0A1EB5"/>
        </w:rPr>
      </w:pPr>
      <w:r>
        <w:rPr>
          <w:color w:val="0A1EB5"/>
        </w:rPr>
        <w:t>CONCLUSÃO</w:t>
      </w:r>
    </w:p>
    <w:p>
      <w:pPr>
        <w:pStyle w:val="Normal"/>
        <w:spacing w:lineRule="auto" w:line="360" w:before="0" w:after="29"/>
        <w:jc w:val="both"/>
        <w:rPr/>
      </w:pPr>
      <w:r>
        <w:rPr>
          <w:rFonts w:ascii="Arial" w:hAnsi="Arial"/>
          <w:color w:val="0A1EB5"/>
          <w:sz w:val="24"/>
          <w:szCs w:val="24"/>
        </w:rPr>
        <w:t>A invisibilidade dos cavalos idosos nas estratégias de nutrição é uma falha grave , técnica, ética e econômica. Ignorar suas necessidades específicas não apenas compromete seu bem-estar, mas também reduz sua vida útil funcional, impedindo que sigam contribuindo como mestres de sela, padrinhos de tropa ou referência genética. É urgente que criadores, médicos veterinários e zootecnistas adotem uma</w:t>
      </w:r>
    </w:p>
    <w:p>
      <w:pPr>
        <w:pStyle w:val="Normal"/>
        <w:spacing w:lineRule="auto" w:line="360" w:before="0" w:after="86"/>
        <w:jc w:val="both"/>
        <w:rPr/>
      </w:pPr>
      <w:r>
        <w:rPr>
          <w:rFonts w:ascii="Arial" w:hAnsi="Arial"/>
          <w:color w:val="0A1EB5"/>
          <w:sz w:val="24"/>
          <w:szCs w:val="24"/>
        </w:rPr>
        <w:t>visão ativa e preventiva, integrando a nutrição de precisão como um pilar do bem-estar equino sênior.</w:t>
      </w:r>
    </w:p>
    <w:sectPr>
      <w:type w:val="nextPage"/>
      <w:pgSz w:w="12240" w:h="15840"/>
      <w:pgMar w:left="1800" w:right="1305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Nfase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dodocumento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Application>LibreOffice/7.4.7.2$Linux_X86_64 LibreOffice_project/40$Build-2</Application>
  <AppVersion>15.0000</AppVersion>
  <Pages>2</Pages>
  <Words>395</Words>
  <Characters>2376</Characters>
  <CharactersWithSpaces>2740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2025-05-30T20:03:06Z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