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widowControl/>
        <w:pBdr>
          <w:bottom w:val="single" w:sz="8" w:space="4" w:color="4F81BD"/>
        </w:pBdr>
        <w:bidi w:val="0"/>
        <w:spacing w:lineRule="auto" w:line="276" w:before="0" w:after="300"/>
        <w:ind w:left="0" w:right="17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A Importância da Suplementação Mineral na Saúde e Performance dos Cavalos Atletas</w:t>
      </w:r>
    </w:p>
    <w:p>
      <w:pPr>
        <w:pStyle w:val="Normal"/>
        <w:widowControl/>
        <w:bidi w:val="0"/>
        <w:spacing w:lineRule="auto" w:line="360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143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A suplementação mineral desempenha um papel fundamental na manutenção da saúde, bem-estar e desempenho atlético dos cavalos. Minerais como cálcio, fósforo, magnésio e eletrólitos são componentes vitais para funções fisiológicas, desde o metabolismo energético até a contração muscular e a integridade óssea. A carência de tais nutrientes pode comprometer gravemente o rendimento e a recuperação dos equinos em atividades de alta exigência.</w:t>
      </w:r>
    </w:p>
    <w:p>
      <w:pPr>
        <w:pStyle w:val="Ttulo1"/>
        <w:widowControl/>
        <w:bidi w:val="0"/>
        <w:spacing w:lineRule="auto" w:line="360" w:before="423" w:after="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MINERAIS ESSENCIAIS E SUAS FUNÇÕES</w:t>
      </w:r>
    </w:p>
    <w:p>
      <w:pPr>
        <w:pStyle w:val="Normal"/>
        <w:widowControl/>
        <w:bidi w:val="0"/>
        <w:spacing w:lineRule="auto" w:line="36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Os principais minerais envolvidos na saúde de cavalos atletas incluem cálcio, fósforo, magnésio e eletrólitos. Cada um possui funções específicas no organismo equino:</w:t>
        <w:br/>
        <w:br/>
        <w:t>- Cálcio: Atua na formação e manutenção dos ossos, além de ser crucial na contração muscular.</w:t>
        <w:br/>
        <w:t>- Fósforo: Complementa a função do cálcio no metabolismo ósseo e energético.</w:t>
        <w:br/>
        <w:t>- Magnésio: Contribui para o relaxamento muscular e equilíbrio do sistema neuromuscular.</w:t>
        <w:br/>
        <w:t>- Eletrólitos (sódio, potássio, cloro): Essenciais para a hidratação, transmissão nervosa e regulação da pressão osmótica.</w:t>
      </w:r>
    </w:p>
    <w:p>
      <w:pPr>
        <w:pStyle w:val="Ttulo1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DEFICIÊNCIAS MINERAIS E SEUS IMPACTOS</w:t>
      </w:r>
    </w:p>
    <w:p>
      <w:pPr>
        <w:pStyle w:val="Normal"/>
        <w:widowControl/>
        <w:bidi w:val="0"/>
        <w:spacing w:before="0" w:after="143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2550"/>
        <w:gridCol w:w="4215"/>
      </w:tblGrid>
      <w:tr>
        <w:trPr/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center"/>
              <w:rPr>
                <w:rFonts w:ascii="Arial" w:hAnsi="Arial" w:eastAsia="ＭＳ 明朝" w:cs=""/>
                <w:b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Mineral</w:t>
            </w:r>
          </w:p>
        </w:tc>
        <w:tc>
          <w:tcPr>
            <w:tcW w:w="2550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center"/>
              <w:rPr>
                <w:rFonts w:ascii="Arial" w:hAnsi="Arial" w:eastAsia="ＭＳ 明朝" w:cs=""/>
                <w:b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Deficiência</w:t>
            </w:r>
          </w:p>
        </w:tc>
        <w:tc>
          <w:tcPr>
            <w:tcW w:w="421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center"/>
              <w:rPr>
                <w:rFonts w:ascii="Arial" w:hAnsi="Arial" w:eastAsia="ＭＳ 明朝" w:cs=""/>
                <w:b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Sintomas</w:t>
            </w:r>
          </w:p>
        </w:tc>
      </w:tr>
      <w:tr>
        <w:trPr/>
        <w:tc>
          <w:tcPr>
            <w:tcW w:w="187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Cálcio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Hipocalcemia</w:t>
            </w:r>
          </w:p>
        </w:tc>
        <w:tc>
          <w:tcPr>
            <w:tcW w:w="421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Fraqueza, tetania, problemas ósseos</w:t>
            </w:r>
          </w:p>
        </w:tc>
      </w:tr>
      <w:tr>
        <w:trPr/>
        <w:tc>
          <w:tcPr>
            <w:tcW w:w="187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Fósforo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Osteoporose</w:t>
            </w:r>
          </w:p>
        </w:tc>
        <w:tc>
          <w:tcPr>
            <w:tcW w:w="421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Fragilidade óssea, dor ao se mover</w:t>
            </w:r>
          </w:p>
        </w:tc>
      </w:tr>
      <w:tr>
        <w:trPr/>
        <w:tc>
          <w:tcPr>
            <w:tcW w:w="187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Magnésio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Hipomagnesemia</w:t>
            </w:r>
          </w:p>
        </w:tc>
        <w:tc>
          <w:tcPr>
            <w:tcW w:w="4215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Cãibras, espasmos musculares</w:t>
            </w:r>
          </w:p>
        </w:tc>
      </w:tr>
      <w:tr>
        <w:trPr/>
        <w:tc>
          <w:tcPr>
            <w:tcW w:w="1875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Eletrólitos</w:t>
            </w:r>
          </w:p>
        </w:tc>
        <w:tc>
          <w:tcPr>
            <w:tcW w:w="2550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Desidratação</w:t>
            </w:r>
          </w:p>
        </w:tc>
        <w:tc>
          <w:tcPr>
            <w:tcW w:w="4215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-510" w:hanging="0"/>
              <w:jc w:val="both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Fadiga, perda de desempenho</w:t>
            </w:r>
          </w:p>
        </w:tc>
      </w:tr>
    </w:tbl>
    <w:p>
      <w:pPr>
        <w:pStyle w:val="Ttulo1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COMPARATIVO DE NECESSIDADES DIÁRIAS</w:t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-510" w:hanging="0"/>
        <w:jc w:val="both"/>
        <w:rPr>
          <w:rFonts w:ascii="Arial" w:hAnsi="Arial"/>
          <w:color w:val="0A1EB5"/>
          <w:sz w:val="20"/>
          <w:szCs w:val="20"/>
        </w:rPr>
      </w:pPr>
      <w:r>
        <w:rPr>
          <w:rFonts w:ascii="Arial" w:hAnsi="Arial"/>
          <w:color w:val="0A1EB5"/>
          <w:sz w:val="20"/>
          <w:szCs w:val="20"/>
        </w:rPr>
        <w:t>Fonte: Dados ilustrativos adaptados de NRC (2007).</w:t>
      </w:r>
    </w:p>
    <w:p>
      <w:pPr>
        <w:pStyle w:val="Corpodotexto"/>
        <w:widowControl/>
        <w:bidi w:val="0"/>
        <w:spacing w:lineRule="auto" w:line="360" w:before="480" w:after="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Esses valores são </w:t>
      </w:r>
      <w:r>
        <w:rPr>
          <w:rStyle w:val="Nfaseforte"/>
          <w:rFonts w:ascii="Arial" w:hAnsi="Arial"/>
          <w:color w:val="0A1EB5"/>
          <w:sz w:val="24"/>
          <w:szCs w:val="24"/>
        </w:rPr>
        <w:t>ilustrativos</w:t>
      </w:r>
      <w:r>
        <w:rPr>
          <w:rFonts w:ascii="Arial" w:hAnsi="Arial"/>
          <w:color w:val="0A1EB5"/>
          <w:sz w:val="24"/>
          <w:szCs w:val="24"/>
        </w:rPr>
        <w:t>, com base nas recomendações médias do NRC (2007), e podem variar conforme: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Peso do animal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Nível de atividade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Condição fisiológica (crescimento, lactação etc.)</w:t>
      </w:r>
    </w:p>
    <w:p>
      <w:pPr>
        <w:pStyle w:val="Ttulo1"/>
        <w:widowControl/>
        <w:bidi w:val="0"/>
        <w:spacing w:lineRule="auto" w:line="360" w:before="480" w:after="0"/>
        <w:ind w:left="0" w:right="-51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CONCLUSÃO</w:t>
      </w:r>
    </w:p>
    <w:p>
      <w:pPr>
        <w:pStyle w:val="Normal"/>
        <w:widowControl/>
        <w:bidi w:val="0"/>
        <w:spacing w:lineRule="auto" w:line="360" w:before="0" w:after="200"/>
        <w:ind w:left="0" w:right="-51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correta suplementação mineral é indispensável para manter o equilíbrio fisiológico dos cavalos, prevenindo lesões, otimizando o desempenho esportivo e promovendo uma recuperação eficiente. A formulação das dietas deve considerar as exigências específicas de cada mineral em função do tipo de atividade executada.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LibreOffice/7.4.7.2$Linux_X86_64 LibreOffice_project/40$Build-2</Application>
  <AppVersion>15.0000</AppVersion>
  <Pages>2</Pages>
  <Words>277</Words>
  <Characters>1730</Characters>
  <CharactersWithSpaces>1977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2025-05-30T09:57:57Z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