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  <w:t>Guia Completo de Nutrição e Manejo</w:t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color w:val="071373"/>
          <w:sz w:val="48"/>
          <w:szCs w:val="48"/>
          <w:u w:val="single"/>
        </w:rPr>
      </w:pPr>
      <w:r>
        <w:rPr>
          <w:rFonts w:ascii="Arial" w:hAnsi="Arial"/>
          <w:b/>
          <w:bCs/>
          <w:color w:val="071373"/>
          <w:sz w:val="48"/>
          <w:szCs w:val="48"/>
          <w:u w:val="single"/>
        </w:rPr>
        <w:t>Energia, suplementação e Estratégias práticas</w:t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" w:hAnsi="Arial"/>
          <w:color w:val="071373"/>
          <w:sz w:val="36"/>
          <w:szCs w:val="36"/>
        </w:rPr>
      </w:pPr>
      <w:r>
        <w:rPr>
          <w:rFonts w:ascii="Arial" w:hAnsi="Arial"/>
          <w:b/>
          <w:bCs/>
          <w:color w:val="071373"/>
          <w:sz w:val="36"/>
          <w:szCs w:val="36"/>
        </w:rPr>
        <w:t>Autor: Alexandre Augusto – Zootecnista / Consultor em Equinocultura</w:t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center"/>
        <w:rPr>
          <w:b/>
          <w:b/>
          <w:color w:val="070BA7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center"/>
        <w:rPr>
          <w:b/>
          <w:b/>
          <w:color w:val="070BA7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center"/>
        <w:rPr>
          <w:b/>
          <w:b/>
          <w:color w:val="070BA7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center"/>
        <w:rPr>
          <w:b/>
          <w:b/>
          <w:color w:val="070BA7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center"/>
        <w:rPr>
          <w:b/>
          <w:b/>
          <w:color w:val="070BA7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center"/>
        <w:rPr>
          <w:rFonts w:ascii="Arial" w:hAnsi="Arial"/>
          <w:color w:val="071373"/>
        </w:rPr>
      </w:pPr>
      <w:r>
        <w:rPr>
          <w:rFonts w:ascii="Arial" w:hAnsi="Arial"/>
          <w:b/>
          <w:color w:val="071373"/>
          <w:sz w:val="24"/>
          <w:szCs w:val="24"/>
        </w:rPr>
        <w:t>SUMÁRIO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-283" w:hanging="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Arial" w:hAnsi="Arial"/>
          <w:color w:val="071373"/>
        </w:rPr>
      </w:pPr>
      <w:r>
        <w:rPr>
          <w:rFonts w:ascii="Arial" w:hAnsi="Arial"/>
          <w:color w:val="071373"/>
          <w:sz w:val="24"/>
          <w:szCs w:val="24"/>
        </w:rPr>
        <w:t xml:space="preserve">1. </w:t>
      </w:r>
      <w:r>
        <w:rPr>
          <w:rFonts w:ascii="Arial" w:hAnsi="Arial"/>
          <w:color w:val="071373"/>
          <w:sz w:val="24"/>
          <w:szCs w:val="24"/>
        </w:rPr>
        <w:t>A Importância da Suplementação Mineral na Saúde e Performance dos Cavalos Atletas………………………………………………………………………………………...3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Arial" w:hAnsi="Arial"/>
          <w:color w:val="071373"/>
        </w:rPr>
      </w:pPr>
      <w:r>
        <w:rPr>
          <w:rFonts w:ascii="Arial" w:hAnsi="Arial"/>
          <w:color w:val="071373"/>
          <w:sz w:val="24"/>
          <w:szCs w:val="24"/>
        </w:rPr>
        <w:br/>
      </w:r>
      <w:r>
        <w:rPr>
          <w:rFonts w:ascii="Arial" w:hAnsi="Arial"/>
          <w:color w:val="071373"/>
          <w:sz w:val="24"/>
          <w:szCs w:val="24"/>
        </w:rPr>
        <w:t xml:space="preserve">2. </w:t>
      </w:r>
      <w:r>
        <w:rPr>
          <w:rFonts w:ascii="Arial" w:hAnsi="Arial"/>
          <w:color w:val="071373"/>
          <w:sz w:val="24"/>
          <w:szCs w:val="24"/>
        </w:rPr>
        <w:t>Qual a Melhor Fonte de Energia para Cavalos Atletas .…………………….…....….</w:t>
      </w:r>
      <w:r>
        <w:rPr>
          <w:rFonts w:ascii="Arial" w:hAnsi="Arial"/>
          <w:color w:val="071373"/>
          <w:sz w:val="24"/>
          <w:szCs w:val="24"/>
        </w:rPr>
        <w:t>5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Arial" w:hAnsi="Arial"/>
          <w:color w:val="071373"/>
        </w:rPr>
      </w:pPr>
      <w:r>
        <w:rPr>
          <w:rFonts w:ascii="Arial" w:hAnsi="Arial"/>
          <w:color w:val="071373"/>
          <w:sz w:val="24"/>
          <w:szCs w:val="24"/>
        </w:rPr>
        <w:br/>
      </w:r>
      <w:r>
        <w:rPr>
          <w:rFonts w:ascii="Arial" w:hAnsi="Arial"/>
          <w:color w:val="071373"/>
          <w:sz w:val="24"/>
          <w:szCs w:val="24"/>
        </w:rPr>
        <w:t xml:space="preserve">3. </w:t>
      </w:r>
      <w:r>
        <w:rPr>
          <w:rFonts w:ascii="Arial" w:hAnsi="Arial"/>
          <w:color w:val="071373"/>
          <w:sz w:val="24"/>
          <w:szCs w:val="24"/>
        </w:rPr>
        <w:t>Estratégias Nutricionais para Cavalos Idosos .……............…….…………….….….</w:t>
      </w:r>
      <w:r>
        <w:rPr>
          <w:rFonts w:ascii="Arial" w:hAnsi="Arial"/>
          <w:color w:val="071373"/>
          <w:sz w:val="24"/>
          <w:szCs w:val="24"/>
        </w:rPr>
        <w:t>7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Arial" w:hAnsi="Arial"/>
          <w:color w:val="071373"/>
        </w:rPr>
      </w:pPr>
      <w:r>
        <w:rPr>
          <w:rFonts w:ascii="Arial" w:hAnsi="Arial"/>
          <w:color w:val="071373"/>
          <w:sz w:val="24"/>
          <w:szCs w:val="24"/>
        </w:rPr>
        <w:br/>
      </w:r>
      <w:r>
        <w:rPr>
          <w:rFonts w:ascii="Arial" w:hAnsi="Arial"/>
          <w:color w:val="071373"/>
          <w:sz w:val="24"/>
          <w:szCs w:val="24"/>
        </w:rPr>
        <w:t xml:space="preserve">4. </w:t>
      </w:r>
      <w:r>
        <w:rPr>
          <w:rFonts w:ascii="Arial" w:hAnsi="Arial"/>
          <w:color w:val="071373"/>
          <w:sz w:val="24"/>
          <w:szCs w:val="24"/>
        </w:rPr>
        <w:t>CONSIDERAÇÕE</w:t>
      </w:r>
      <w:r>
        <w:rPr>
          <w:rFonts w:ascii="Arial" w:hAnsi="Arial"/>
          <w:color w:val="071373"/>
          <w:sz w:val="24"/>
          <w:szCs w:val="24"/>
        </w:rPr>
        <w:t xml:space="preserve">S </w:t>
      </w:r>
      <w:r>
        <w:rPr>
          <w:rFonts w:ascii="Arial" w:hAnsi="Arial"/>
          <w:color w:val="071373"/>
          <w:sz w:val="24"/>
          <w:szCs w:val="24"/>
        </w:rPr>
        <w:t>FINAIS ....................…................………….…...……..…...…...</w:t>
      </w:r>
      <w:r>
        <w:rPr>
          <w:rFonts w:ascii="Arial" w:hAnsi="Arial"/>
          <w:color w:val="071373"/>
          <w:sz w:val="24"/>
          <w:szCs w:val="24"/>
        </w:rPr>
        <w:t>9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jc w:val="both"/>
        <w:rPr>
          <w:rFonts w:ascii="Arial" w:hAnsi="Arial"/>
          <w:color w:val="071373"/>
        </w:rPr>
      </w:pPr>
      <w:r>
        <w:rPr>
          <w:rFonts w:ascii="Arial" w:hAnsi="Arial"/>
          <w:color w:val="071373"/>
          <w:sz w:val="24"/>
          <w:szCs w:val="24"/>
        </w:rPr>
        <w:br/>
      </w:r>
      <w:r>
        <w:rPr>
          <w:rFonts w:ascii="Arial" w:hAnsi="Arial"/>
          <w:color w:val="071373"/>
          <w:sz w:val="24"/>
          <w:szCs w:val="24"/>
        </w:rPr>
        <w:t xml:space="preserve">5. </w:t>
      </w:r>
      <w:r>
        <w:rPr>
          <w:rFonts w:ascii="Arial" w:hAnsi="Arial"/>
          <w:color w:val="071373"/>
          <w:sz w:val="24"/>
          <w:szCs w:val="24"/>
        </w:rPr>
        <w:t>REFERÊNCIAS ..........…..............................................……………….……...……...</w:t>
      </w:r>
      <w:r>
        <w:rPr>
          <w:rFonts w:ascii="Arial" w:hAnsi="Arial"/>
          <w:color w:val="071373"/>
          <w:sz w:val="24"/>
          <w:szCs w:val="24"/>
        </w:rPr>
        <w:t>9</w:t>
      </w:r>
    </w:p>
    <w:p>
      <w:pPr>
        <w:pStyle w:val="Normal"/>
        <w:bidi w:val="0"/>
        <w:jc w:val="both"/>
        <w:rPr>
          <w:rFonts w:ascii="Arial" w:hAnsi="Arial"/>
          <w:color w:val="071373"/>
          <w:sz w:val="24"/>
          <w:szCs w:val="24"/>
        </w:rPr>
      </w:pPr>
      <w:r>
        <w:rPr>
          <w:rFonts w:ascii="Arial" w:hAnsi="Arial"/>
          <w:color w:val="071373"/>
          <w:sz w:val="24"/>
          <w:szCs w:val="24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sectPr>
          <w:type w:val="nextPage"/>
          <w:pgSz w:w="11906" w:h="16838"/>
          <w:pgMar w:left="1740" w:right="1091" w:gutter="0" w:header="0" w:top="0" w:footer="0" w:bottom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Ttulododocumento"/>
        <w:widowControl/>
        <w:pBdr>
          <w:bottom w:val="single" w:sz="8" w:space="4" w:color="4F81BD"/>
        </w:pBdr>
        <w:bidi w:val="0"/>
        <w:spacing w:lineRule="auto" w:line="276" w:before="0" w:after="300"/>
        <w:ind w:left="0" w:right="17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 xml:space="preserve">1. </w:t>
      </w:r>
      <w:r>
        <w:rPr>
          <w:rFonts w:ascii="Arial" w:hAnsi="Arial"/>
          <w:b/>
          <w:bCs/>
          <w:color w:val="0A1EB5"/>
          <w:sz w:val="28"/>
          <w:szCs w:val="28"/>
        </w:rPr>
        <w:t>A Importância da Suplementação Mineral na Saúde e Performance dos Cavalos Atletas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  <w:u w:val="single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a deficiência de minerais pode ser a causa invisível por trás do baixo desempenho do seu cavalo?</w:t>
      </w:r>
    </w:p>
    <w:p>
      <w:pPr>
        <w:pStyle w:val="Normal"/>
        <w:widowControl/>
        <w:tabs>
          <w:tab w:val="clear" w:pos="709"/>
          <w:tab w:val="left" w:pos="9075" w:leader="none"/>
        </w:tabs>
        <w:bidi w:val="0"/>
        <w:spacing w:lineRule="auto" w:line="360" w:before="57" w:after="143"/>
        <w:ind w:left="0" w:right="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A suplementação mineral desempenha um papel fundamental na manutenção da saúde, bem-estar e desempenho atlético dos cavalos. Minerais como cálcio, fósforo, magnésio e eletrólitos são componentes vitais para funções fisiológicas, desde o metabolismo energético até a contração muscular e a integridade óssea. A carência de tais nutrientes pode comprometer gravemente o rendimento e a recuperação dos equinos em atividades de alta exigência.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Os principais minerais envolvidos na saúde de cavalos atletas incluem cálcio, fósforo, magnésio e eletrólitos. Cada um possui funções específicas no organismo equino:</w:t>
        <w:br/>
        <w:br/>
        <w:t>- Cálcio: Atua na formação e manutenção dos ossos, além de ser crucial na contração muscular.</w:t>
        <w:br/>
        <w:t>- Fósforo: Complementa a função do cálcio no metabolismo ósseo e energético.</w:t>
        <w:br/>
        <w:t>- Magnésio: Contribui para o relaxamento muscular e equilíbrio do sistema neuromuscular.</w:t>
        <w:br/>
        <w:t>- Eletrólitos (sódio, potássio, cloro): Essenciais para a hidratação, transmissão nervosa e regulação da pressão osmótica.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Veja abaixo, na tabela 1, um resumo das principais deficiências minerais e seus sintomas em cavalos atletas: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2682"/>
        <w:gridCol w:w="4425"/>
      </w:tblGrid>
      <w:tr>
        <w:trPr/>
        <w:tc>
          <w:tcPr>
            <w:tcW w:w="1964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Mineral</w:t>
            </w:r>
          </w:p>
        </w:tc>
        <w:tc>
          <w:tcPr>
            <w:tcW w:w="2682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Deficiência</w:t>
            </w:r>
          </w:p>
        </w:tc>
        <w:tc>
          <w:tcPr>
            <w:tcW w:w="442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Sintomas</w:t>
            </w:r>
          </w:p>
        </w:tc>
      </w:tr>
      <w:tr>
        <w:trPr/>
        <w:tc>
          <w:tcPr>
            <w:tcW w:w="1964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Cálcio</w:t>
            </w:r>
          </w:p>
        </w:tc>
        <w:tc>
          <w:tcPr>
            <w:tcW w:w="268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Hipocalcemia</w:t>
            </w:r>
          </w:p>
        </w:tc>
        <w:tc>
          <w:tcPr>
            <w:tcW w:w="442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Fraqueza, tetania, problemas ósseos</w:t>
            </w:r>
          </w:p>
        </w:tc>
      </w:tr>
      <w:tr>
        <w:trPr/>
        <w:tc>
          <w:tcPr>
            <w:tcW w:w="1964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Fósforo</w:t>
            </w:r>
          </w:p>
        </w:tc>
        <w:tc>
          <w:tcPr>
            <w:tcW w:w="268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Osteoporose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Fragilidade óssea, dor ao se mover</w:t>
            </w:r>
          </w:p>
        </w:tc>
      </w:tr>
      <w:tr>
        <w:trPr/>
        <w:tc>
          <w:tcPr>
            <w:tcW w:w="1964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Magnésio</w:t>
            </w:r>
          </w:p>
        </w:tc>
        <w:tc>
          <w:tcPr>
            <w:tcW w:w="268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Hipomagnesemia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Cãibras, espasmos musculares</w:t>
            </w:r>
          </w:p>
        </w:tc>
      </w:tr>
      <w:tr>
        <w:trPr/>
        <w:tc>
          <w:tcPr>
            <w:tcW w:w="196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Eletrólitos</w:t>
            </w:r>
          </w:p>
        </w:tc>
        <w:tc>
          <w:tcPr>
            <w:tcW w:w="268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Desidratação</w:t>
            </w:r>
          </w:p>
        </w:tc>
        <w:tc>
          <w:tcPr>
            <w:tcW w:w="442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Fadiga, perda de desempenho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20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Gráfico 1 – Requisitos médios diários de minerais em cavalos atletas (g/dia), baseados no NRC (2007).</w:t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480" w:after="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Esses valores são </w:t>
      </w:r>
      <w:r>
        <w:rPr>
          <w:rStyle w:val="Strong"/>
          <w:rFonts w:ascii="Arial" w:hAnsi="Arial"/>
          <w:b w:val="false"/>
          <w:bCs w:val="false"/>
          <w:color w:val="0A1EB5"/>
          <w:sz w:val="24"/>
          <w:szCs w:val="24"/>
        </w:rPr>
        <w:t>ilustrativos</w:t>
      </w:r>
      <w:r>
        <w:rPr>
          <w:rFonts w:ascii="Arial" w:hAnsi="Arial"/>
          <w:color w:val="0A1EB5"/>
          <w:sz w:val="24"/>
          <w:szCs w:val="24"/>
        </w:rPr>
        <w:t>, com base nas recomendações médias do NRC (2007), e podem variar conforme: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Peso do animal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Nível de atividade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Condição fisiológica (crescimento, lactação etc.)</w:t>
      </w:r>
    </w:p>
    <w:p>
      <w:pPr>
        <w:pStyle w:val="Ttulo1"/>
        <w:widowControl/>
        <w:bidi w:val="0"/>
        <w:spacing w:lineRule="auto" w:line="360" w:before="480" w:after="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CONCLUSÃO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correta suplementação mineral é indispensável para manter o equilíbrio fisiológico dos cavalos, prevenindo lesões, otimizando o desempenho esportivo e promovendo uma recuperação eficiente. A formulação das dietas deve considerar as exigências específicas de cada mineral em função do tipo de atividade executada. Por isso, investir na suplementação mineral correta não é gasto — é retorno em saúde, longevidade e performance.</w:t>
      </w:r>
    </w:p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</w:r>
    </w:p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 xml:space="preserve">2. </w:t>
      </w:r>
      <w:r>
        <w:rPr>
          <w:rFonts w:ascii="Arial" w:hAnsi="Arial"/>
          <w:b/>
          <w:bCs/>
          <w:color w:val="0A1EB5"/>
          <w:sz w:val="28"/>
          <w:szCs w:val="28"/>
        </w:rPr>
        <w:t>Qual a Melhor Fonte de Energia para Cavalos Atletas?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o tipo de energia que seu cavalo consome pode fazer toda a diferença entre a vitória e a exaustão?</w:t>
      </w:r>
      <w:r>
        <w:rPr>
          <w:rFonts w:ascii="Arial" w:hAnsi="Arial"/>
          <w:color w:val="0A1EB5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Escolher a fonte energética certa é uma estratégia poderosa para garantir explosão, resistência e recuperação nos momentos decisivos.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energia é o combustível essencial para o desempenho de cavalos atletas. A escolha adequada das fontes energéticas influencia diretamente a resistência, a recuperação e a performance em competições. Compreender como diferentes nutrientes fornecem energia ao organismo equino é fundamental para uma nutrição estratégica e eficiente.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Cavalos de corrida e salto se beneficiam mais de carboidratos, por fornecerem energia imediata. Já os que participam de provas de resistência, como enduro e laço comprido, demandam maior aporte de gordura, que sustenta o esforço prolongado.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As principais fontes de energia na dieta dos cavalos são os carboidratos, as gorduras e, em menor grau, as proteínas. Cada uma tem características distintas no metabolismo equino, são:                                                </w:t>
        <w:br/>
      </w:r>
      <w:r>
        <w:rPr>
          <w:rFonts w:ascii="Arial" w:hAnsi="Arial"/>
          <w:b/>
          <w:color w:val="0A1EB5"/>
          <w:sz w:val="24"/>
          <w:szCs w:val="24"/>
        </w:rPr>
        <w:t xml:space="preserve">• Carboidratos: </w:t>
      </w:r>
      <w:r>
        <w:rPr>
          <w:rFonts w:ascii="Arial" w:hAnsi="Arial"/>
          <w:color w:val="0A1EB5"/>
          <w:sz w:val="24"/>
          <w:szCs w:val="24"/>
        </w:rPr>
        <w:t>São rapidamente absorvidos e utilizados como fonte imediata de energia. Estão presentes nos grãos e forragens.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  <w:t xml:space="preserve">• </w:t>
      </w:r>
      <w:r>
        <w:rPr>
          <w:rFonts w:ascii="Arial" w:hAnsi="Arial"/>
          <w:b/>
          <w:color w:val="0A1EB5"/>
          <w:sz w:val="24"/>
          <w:szCs w:val="24"/>
        </w:rPr>
        <w:t xml:space="preserve">Proteínas: </w:t>
      </w:r>
      <w:r>
        <w:rPr>
          <w:rFonts w:ascii="Arial" w:hAnsi="Arial"/>
          <w:color w:val="0A1EB5"/>
          <w:sz w:val="24"/>
          <w:szCs w:val="24"/>
        </w:rPr>
        <w:t>Embora sejam fontes potenciais de energia, seu uso é limitado, pois sua principal função é estrutural e não energética.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  <w:t xml:space="preserve">• </w:t>
      </w:r>
      <w:r>
        <w:rPr>
          <w:rFonts w:ascii="Arial" w:hAnsi="Arial"/>
          <w:b/>
          <w:color w:val="0A1EB5"/>
          <w:sz w:val="24"/>
          <w:szCs w:val="24"/>
        </w:rPr>
        <w:t xml:space="preserve">Gorduras: </w:t>
      </w:r>
      <w:r>
        <w:rPr>
          <w:rFonts w:ascii="Arial" w:hAnsi="Arial"/>
          <w:b w:val="false"/>
          <w:bCs w:val="false"/>
          <w:color w:val="0A1EB5"/>
          <w:sz w:val="24"/>
          <w:szCs w:val="24"/>
        </w:rPr>
        <w:t>Oferecem energia de liberação mais lenta e são ideais para exercícios de resistência. São adicionadas na forma de óleos vegetais.</w:t>
      </w:r>
      <w:r>
        <w:rPr>
          <w:rFonts w:ascii="Arial" w:hAnsi="Arial"/>
          <w:color w:val="0A1EB5"/>
          <w:sz w:val="24"/>
          <w:szCs w:val="24"/>
        </w:rPr>
        <w:tab/>
        <w:tab/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seguir, na tabela 2, veja uma comparação prática entre as principais fontes energéticas utilizadas na dieta equina: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Tabela 2 – Proporção comparativa da contribuição energética na dieta de cavalos atletas.</w:t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3986"/>
        <w:gridCol w:w="3419"/>
      </w:tblGrid>
      <w:tr>
        <w:trPr/>
        <w:tc>
          <w:tcPr>
            <w:tcW w:w="1666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Fonte</w:t>
            </w:r>
          </w:p>
        </w:tc>
        <w:tc>
          <w:tcPr>
            <w:tcW w:w="3986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Velocidade de Disponibilização</w:t>
            </w:r>
          </w:p>
        </w:tc>
        <w:tc>
          <w:tcPr>
            <w:tcW w:w="3419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Uso Ideal</w:t>
            </w:r>
          </w:p>
        </w:tc>
      </w:tr>
      <w:tr>
        <w:trPr/>
        <w:tc>
          <w:tcPr>
            <w:tcW w:w="166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Carboidratos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Rápida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Esforços intensos e curtos</w:t>
            </w:r>
          </w:p>
        </w:tc>
      </w:tr>
      <w:tr>
        <w:trPr/>
        <w:tc>
          <w:tcPr>
            <w:tcW w:w="166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Gorduras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Lenta e sustentada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Provas de resistência</w:t>
            </w:r>
          </w:p>
        </w:tc>
      </w:tr>
      <w:tr>
        <w:trPr/>
        <w:tc>
          <w:tcPr>
            <w:tcW w:w="1666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bidi w:val="0"/>
              <w:spacing w:before="0" w:after="29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Proteínas</w:t>
            </w:r>
          </w:p>
        </w:tc>
        <w:tc>
          <w:tcPr>
            <w:tcW w:w="3986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bidi w:val="0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Baixa</w:t>
            </w:r>
          </w:p>
        </w:tc>
        <w:tc>
          <w:tcPr>
            <w:tcW w:w="3419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bidi w:val="0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Manutenção e recuperação muscular</w:t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2 – Proporção estimada da contribuição energética na dieta de cavalos atletas.</w:t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68010" cy="3253740"/>
            <wp:effectExtent l="0" t="0" r="0" b="0"/>
            <wp:docPr id="2" name="Picture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 Copi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bCs/>
          <w:color w:val="0A1EB5"/>
          <w:sz w:val="24"/>
          <w:szCs w:val="24"/>
        </w:rPr>
        <w:t>CONCLUSÃO</w:t>
      </w:r>
    </w:p>
    <w:p>
      <w:pPr>
        <w:pStyle w:val="Normal"/>
        <w:widowControl/>
        <w:tabs>
          <w:tab w:val="clear" w:pos="709"/>
          <w:tab w:val="left" w:pos="8505" w:leader="none"/>
        </w:tabs>
        <w:bidi w:val="0"/>
        <w:spacing w:lineRule="auto" w:line="360" w:before="0" w:after="200"/>
        <w:ind w:left="0" w:right="0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Para obter os melhores resultados, a dieta energética do cavalo deve ser ajustada de acordo com o tipo de prova, tempo de treino e fase do calendário esportivo. Carboidratos são ideais para explosões rápidas de energia, enquanto gorduras sustentam esforços prolongados. Sempre consulte um profissional antes de mudanças e observe a resposta individual de cada animal. Uma dieta equilibrada e adaptada às necessidades específicas é essencial para maximizar o desempenho dos equinos atletas.</w:t>
      </w:r>
    </w:p>
    <w:p>
      <w:pPr>
        <w:pStyle w:val="Normal"/>
        <w:widowControl/>
        <w:tabs>
          <w:tab w:val="clear" w:pos="709"/>
          <w:tab w:val="left" w:pos="8505" w:leader="none"/>
        </w:tabs>
        <w:bidi w:val="0"/>
        <w:spacing w:lineRule="auto" w:line="360" w:before="0" w:after="20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Ttulododocumento"/>
        <w:widowControl/>
        <w:pBdr>
          <w:bottom w:val="single" w:sz="8" w:space="4" w:color="4F81BD"/>
        </w:pBdr>
        <w:suppressAutoHyphens w:val="true"/>
        <w:bidi w:val="0"/>
        <w:spacing w:lineRule="auto" w:line="240" w:before="0" w:after="300"/>
        <w:ind w:left="0" w:right="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 xml:space="preserve">3. </w:t>
      </w:r>
      <w:r>
        <w:rPr>
          <w:rFonts w:ascii="Arial" w:hAnsi="Arial"/>
          <w:b/>
          <w:bCs/>
          <w:color w:val="0A1EB5"/>
          <w:sz w:val="28"/>
          <w:szCs w:val="28"/>
        </w:rPr>
        <w:t>Estratégias Nutricionais para Cavalos Idosos: Um Alerta à Saúde e Longevidade Equina</w:t>
      </w:r>
    </w:p>
    <w:p>
      <w:pPr>
        <w:pStyle w:val="Normal"/>
        <w:bidi w:val="0"/>
        <w:spacing w:lineRule="auto" w:line="360" w:before="57" w:after="57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se preocupa com o bem-estar do seu cavalo depois dos 18 anos?</w:t>
      </w:r>
    </w:p>
    <w:p>
      <w:pPr>
        <w:pStyle w:val="Normal"/>
        <w:bidi w:val="0"/>
        <w:spacing w:lineRule="auto" w:line="360" w:before="57" w:after="57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Muitos criadores ainda ignoram que os cavalos idosos têm exigências nutricionais únicas — e que negligenciá-las é uma das principais causas de perda precoce de vitalidade. Com o envelhecimento, mudanças silenciosas no organismo colocam a saúde do animal em risco, afetando digestão, absorção de nutrientes, função muscular e até comportamento.</w:t>
      </w:r>
    </w:p>
    <w:p>
      <w:pPr>
        <w:pStyle w:val="Normal"/>
        <w:bidi w:val="0"/>
        <w:spacing w:lineRule="auto" w:line="360" w:before="57" w:after="57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Estudos internacionais demonstram que a digestão de fibras pode cair até 25% após os 20 anos (Geor et al., 2013), e a sarcopenia — perda de massa muscular relacionada à idade — afeta diretamente o rendimento, postura e mobilidade do cavalo. Infelizmente, a maioria dos programas de manejo ignora esse processo fisiológico natural, tratando o cavalo sênior como se fosse adulto ativo. </w:t>
      </w:r>
    </w:p>
    <w:p>
      <w:pPr>
        <w:pStyle w:val="Ttulo1"/>
        <w:bidi w:val="0"/>
        <w:spacing w:lineRule="auto" w:line="360" w:before="309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Desafios Fisiológicos do Envelhecimento Equino</w:t>
      </w:r>
    </w:p>
    <w:p>
      <w:pPr>
        <w:pStyle w:val="Normal"/>
        <w:bidi w:val="0"/>
        <w:spacing w:lineRule="auto" w:line="360" w:before="0" w:after="86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- Redução da digestibilidade, principalmente de fibras e proteínas.</w:t>
        <w:br/>
        <w:t>- Alterações dentárias e dificuldade de mastigação.</w:t>
        <w:br/>
        <w:t>- Perda progressiva de massa muscular (sarcopenia).</w:t>
        <w:br/>
        <w:t>- Declínio na função hepática e imunológica.</w:t>
        <w:br/>
        <w:t>- Aumento do risco de distúrbios metabólicos e inflamatórios crônicos.</w:t>
      </w:r>
    </w:p>
    <w:p>
      <w:pPr>
        <w:pStyle w:val="Ttulo1"/>
        <w:bidi w:val="0"/>
        <w:spacing w:lineRule="auto" w:line="360" w:before="309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Nutrientes Estratégicos para Cavalos Seniores</w:t>
      </w:r>
    </w:p>
    <w:p>
      <w:pPr>
        <w:pStyle w:val="Normal"/>
        <w:bidi w:val="0"/>
        <w:spacing w:lineRule="auto" w:line="360" w:before="81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color w:val="0A1EB5"/>
          <w:sz w:val="24"/>
          <w:szCs w:val="24"/>
        </w:rPr>
        <w:t>- Proteínas de alto valor biológico: essenciais para reduzir a sarcopenia.</w:t>
        <w:br/>
        <w:t>- Gorduras de boa digestibilidade: energia limpa e sem impacto glicêmico.</w:t>
        <w:br/>
        <w:t>- Antioxidantes (A, C, E + selênio): combate ao estresse oxidativo.</w:t>
        <w:br/>
        <w:t>- Probióticos e prebióticos: suporte à microbiota intestinal enfraquecida.</w:t>
        <w:br/>
        <w:t>- Minerais quelatados: maior absorção em sistemas digestivos debilitados.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color w:val="0A1EB5"/>
          <w:sz w:val="24"/>
          <w:szCs w:val="24"/>
        </w:rPr>
        <w:t>A tabela 3, nos resume algumas estratégias nutricionais para cavalos.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  <w:b/>
          <w:bCs/>
          <w:color w:val="0A1EB5"/>
          <w:sz w:val="24"/>
          <w:szCs w:val="24"/>
        </w:rPr>
        <w:t>Tabela: Estratégias Nutricionais Indicadas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0"/>
        <w:gridCol w:w="2534"/>
        <w:gridCol w:w="1415"/>
        <w:gridCol w:w="2651"/>
      </w:tblGrid>
      <w:tr>
        <w:trPr/>
        <w:tc>
          <w:tcPr>
            <w:tcW w:w="2470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Estratégia</w:t>
            </w:r>
          </w:p>
        </w:tc>
        <w:tc>
          <w:tcPr>
            <w:tcW w:w="2534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Objetivo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Adaptação</w:t>
            </w:r>
          </w:p>
        </w:tc>
        <w:tc>
          <w:tcPr>
            <w:tcW w:w="2651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Evidência Prática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Alimentos extrusados e pastas</w:t>
            </w:r>
          </w:p>
        </w:tc>
        <w:tc>
          <w:tcPr>
            <w:tcW w:w="25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Facilitar mastigação e digestão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Rápida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Melhora ingestão em 7 dias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Suplementos lipídicos (óleo vegetal)</w:t>
            </w:r>
          </w:p>
        </w:tc>
        <w:tc>
          <w:tcPr>
            <w:tcW w:w="25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Energia sem fermentação excessiva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Média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Reduz perda de peso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Feno de alta qualidade + pré-corte</w:t>
            </w:r>
          </w:p>
        </w:tc>
        <w:tc>
          <w:tcPr>
            <w:tcW w:w="25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Digestibilidade superior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Imediata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Menor volume fecal</w:t>
            </w:r>
          </w:p>
        </w:tc>
      </w:tr>
      <w:tr>
        <w:trPr/>
        <w:tc>
          <w:tcPr>
            <w:tcW w:w="247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Leveduras + prebióticos</w:t>
            </w:r>
          </w:p>
        </w:tc>
        <w:tc>
          <w:tcPr>
            <w:tcW w:w="2534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Saúde intestinal e absorção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Lenta (3 a 4 semanas)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Redução de cólicas</w:t>
            </w:r>
          </w:p>
        </w:tc>
      </w:tr>
      <w:tr>
        <w:trPr/>
        <w:tc>
          <w:tcPr>
            <w:tcW w:w="247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Ração com proteína digestível</w:t>
            </w:r>
          </w:p>
        </w:tc>
        <w:tc>
          <w:tcPr>
            <w:tcW w:w="2534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Preservar musculatura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Média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Menor índice de atrofia</w:t>
            </w:r>
          </w:p>
        </w:tc>
      </w:tr>
    </w:tbl>
    <w:p>
      <w:pPr>
        <w:pStyle w:val="Ttulo1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Gráfico: Nutrientes Prioritários</w:t>
      </w:r>
    </w:p>
    <w:p>
      <w:pPr>
        <w:pStyle w:val="Normal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3 –  Nutrientes com Maior Impacto na Senescência.</w:t>
      </w:r>
    </w:p>
    <w:p>
      <w:pPr>
        <w:pStyle w:val="Normal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99125" cy="308927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bidi w:val="0"/>
        <w:spacing w:lineRule="auto" w:line="360" w:before="366" w:after="114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CONCLUSÃO</w:t>
      </w:r>
    </w:p>
    <w:p>
      <w:pPr>
        <w:pStyle w:val="Normal"/>
        <w:bidi w:val="0"/>
        <w:spacing w:lineRule="auto" w:line="360" w:before="0" w:after="29"/>
        <w:jc w:val="both"/>
        <w:rPr/>
      </w:pPr>
      <w:r>
        <w:rPr>
          <w:rFonts w:ascii="Arial" w:hAnsi="Arial"/>
          <w:color w:val="0A1EB5"/>
          <w:sz w:val="24"/>
          <w:szCs w:val="24"/>
        </w:rPr>
        <w:t>A invisibilidade dos cavalos idosos nas estratégias de nutrição é uma falha grave , técnica, ética e econômica. Ignorar suas necessidades específicas não apenas compromete seu bem-estar, mas também reduz sua vida útil funcional, impedindo que sigam contribuindo como mestres de sela, padrinhos de tropa ou referência genética. É urgente que criadores, médicos veterinários e zootecnistas adotem uma</w:t>
      </w:r>
    </w:p>
    <w:p>
      <w:pPr>
        <w:pStyle w:val="Normal"/>
        <w:bidi w:val="0"/>
        <w:spacing w:lineRule="auto" w:line="360" w:before="0" w:after="86"/>
        <w:jc w:val="both"/>
        <w:rPr/>
      </w:pPr>
      <w:r>
        <w:rPr>
          <w:rFonts w:ascii="Arial" w:hAnsi="Arial"/>
          <w:color w:val="0A1EB5"/>
          <w:sz w:val="24"/>
          <w:szCs w:val="24"/>
        </w:rPr>
        <w:t>visão ativa e preventiva, integrando a nutrição de precisão como um pilar do bem-estar equino sênior.</w:t>
      </w:r>
    </w:p>
    <w:p>
      <w:pPr>
        <w:pStyle w:val="Normal"/>
        <w:bidi w:val="0"/>
        <w:spacing w:lineRule="auto" w:line="360" w:before="0" w:after="86"/>
        <w:jc w:val="both"/>
        <w:rPr>
          <w:rFonts w:ascii="Arial" w:hAnsi="Arial"/>
          <w:b/>
          <w:b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</w:r>
    </w:p>
    <w:p>
      <w:pPr>
        <w:pStyle w:val="Normal"/>
        <w:bidi w:val="0"/>
        <w:spacing w:lineRule="auto" w:line="360" w:before="0" w:after="86"/>
        <w:jc w:val="both"/>
        <w:rPr>
          <w:rFonts w:ascii="Arial" w:hAnsi="Arial"/>
          <w:b/>
          <w:b/>
          <w:color w:val="070BA7"/>
        </w:rPr>
      </w:pPr>
      <w:r>
        <w:rPr/>
      </w:r>
    </w:p>
    <w:p>
      <w:pPr>
        <w:pStyle w:val="Normal"/>
        <w:bidi w:val="0"/>
        <w:spacing w:lineRule="auto" w:line="360" w:before="0" w:after="86"/>
        <w:jc w:val="both"/>
        <w:rPr/>
      </w:pPr>
      <w:r>
        <w:rPr>
          <w:rFonts w:ascii="Arial" w:hAnsi="Arial"/>
          <w:b/>
          <w:color w:val="070BA7"/>
        </w:rPr>
        <w:t xml:space="preserve">4. </w:t>
      </w:r>
      <w:r>
        <w:rPr>
          <w:rFonts w:ascii="Arial" w:hAnsi="Arial"/>
          <w:b/>
          <w:color w:val="070BA7"/>
        </w:rPr>
        <w:t>CONSIDERAÇÕES FINAIS</w:t>
      </w:r>
    </w:p>
    <w:p>
      <w:pPr>
        <w:pStyle w:val="Normal"/>
        <w:spacing w:lineRule="auto" w:line="360" w:before="57" w:after="57"/>
        <w:jc w:val="both"/>
        <w:rPr>
          <w:rFonts w:ascii="Arial" w:hAnsi="Arial"/>
          <w:color w:val="070BA7"/>
        </w:rPr>
      </w:pPr>
      <w:r>
        <w:rPr>
          <w:rFonts w:ascii="Arial" w:hAnsi="Arial"/>
          <w:color w:val="070BA7"/>
        </w:rPr>
        <w:t>A nutrição equina de precisão é, hoje, um dos pilares mais estratégicos da performance, longevidade e bem-estar dos cavalos atletas e seniores. Ao integrar conhecimentos atualizados sobre suplementação mineral, fontes energéticas e necessidades fisiológicas ao longo das fases da vida, é possível transformar o manejo nutricional em vantagem competitiva e responsabilidade zootécnica.</w:t>
        <w:br/>
        <w:br/>
        <w:t>Mais do que alimentar, trata-se de nutrir com propósito, compreendendo as respostas do organismo equino diante de exigências crescentes nas pistas e nas pastagens. Seja no auge da performance esportiva ou na delicada fase do envelhecimento, o equilíbrio nutricional é o que sustenta músculos, ossos, imunidade, vitalidade e longevidade.</w:t>
        <w:br/>
        <w:br/>
        <w:t>Portanto, profissionais da equinocultura que desejam atuar com excelência devem adotar uma postura proativa e tecnicamente fundamentada na construção de programas nutricionais específicos, sustentáveis e individualizados. Este guia buscou oferecer um caminho prático, aplicável e fundamentado, reafirmando que a ciência da nutrição é uma aliada poderosa da arte de criar cavalos.</w:t>
      </w:r>
    </w:p>
    <w:p>
      <w:pPr>
        <w:pStyle w:val="Normal"/>
        <w:spacing w:lineRule="auto" w:line="360" w:before="57" w:after="57"/>
        <w:jc w:val="both"/>
        <w:rPr>
          <w:rFonts w:ascii="Arial" w:hAnsi="Arial"/>
          <w:color w:val="070BA7"/>
        </w:rPr>
      </w:pPr>
      <w:r>
        <w:rPr>
          <w:rFonts w:ascii="Arial" w:hAnsi="Arial"/>
          <w:color w:val="070BA7"/>
        </w:rPr>
      </w:r>
    </w:p>
    <w:p>
      <w:pPr>
        <w:pStyle w:val="Ttulo1"/>
        <w:widowControl/>
        <w:bidi w:val="0"/>
        <w:spacing w:lineRule="auto" w:line="240" w:before="480" w:after="0"/>
        <w:ind w:left="0" w:right="-51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color w:val="070BA7"/>
          <w:sz w:val="24"/>
          <w:szCs w:val="24"/>
        </w:rPr>
        <w:t>REFERÊNCIAS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70BA7"/>
          <w:sz w:val="24"/>
          <w:szCs w:val="24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0" w:right="-510" w:hanging="0"/>
        <w:jc w:val="both"/>
        <w:rPr>
          <w:color w:val="070BA7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  <w:t>NATIONAL RESEARCH COUNCIL - NRC. Nutrient Requirements of Horses. 6. ed. Washington, D.C.: National Academies Press, 2007.</w:t>
        <w:br/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color w:val="070BA7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  <w:t>BURTON, J. et al. Aging and Digestive Efficiency in Horses: A Review. Journal of Equine Science, 2021.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70BA7"/>
          <w:sz w:val="24"/>
          <w:szCs w:val="24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color w:val="070BA7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  <w:t>FRAPE, D. Equine Nutrition and Feeding. 4. ed. Wiley-Blackwell, 2010.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70BA7"/>
          <w:sz w:val="24"/>
          <w:szCs w:val="24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43"/>
        <w:ind w:left="0" w:right="-510" w:hanging="0"/>
        <w:jc w:val="both"/>
        <w:rPr>
          <w:color w:val="070BA7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  <w:t>GEOR, R. J.; HARRIS, P.; COENEN, M. Equine Applied and Clinical Nutrition. Saunders Elsevier, 2013.</w:t>
      </w:r>
    </w:p>
    <w:p>
      <w:pPr>
        <w:pStyle w:val="Normal"/>
        <w:widowControl/>
        <w:bidi w:val="0"/>
        <w:spacing w:lineRule="auto" w:line="240" w:before="0" w:after="143"/>
        <w:ind w:left="0" w:right="-510" w:hanging="0"/>
        <w:jc w:val="both"/>
        <w:rPr>
          <w:color w:val="070BA7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  <w:br/>
        <w:t>MCFARLANE, D. Equine Geriatric Medicine. Vet Clin North Am Equine Pract. 2018.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color w:val="070BA7"/>
        </w:rPr>
      </w:pPr>
      <w:r>
        <w:rPr>
          <w:rFonts w:ascii="Arial" w:hAnsi="Arial"/>
          <w:b w:val="false"/>
          <w:bCs w:val="false"/>
          <w:color w:val="070BA7"/>
          <w:sz w:val="24"/>
          <w:szCs w:val="24"/>
        </w:rPr>
        <w:t>NATIONAL RESEARCH COUNCIL - NRC. Nutrient Requirements of Horses. 6. ed. Washington, D.C.: National Academies Press, 2007.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5953" w:leader="none"/>
        <w:tab w:val="right" w:pos="1190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906" w:leader="dot"/>
      </w:tabs>
      <w:ind w:left="0" w:hanging="0"/>
    </w:pPr>
    <w:rPr/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Ndicepersonalizado1">
    <w:name w:val="Índice personalizado 1"/>
    <w:basedOn w:val="Ndice"/>
    <w:qFormat/>
    <w:pPr>
      <w:tabs>
        <w:tab w:val="clear" w:pos="709"/>
        <w:tab w:val="right" w:pos="11906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LibreOffice/7.4.7.2$Linux_X86_64 LibreOffice_project/40$Build-2</Application>
  <AppVersion>15.0000</AppVersion>
  <Pages>9</Pages>
  <Words>1397</Words>
  <Characters>8515</Characters>
  <CharactersWithSpaces>9871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2025-05-31T15:10:04Z</dcterms:created>
  <dc:creator/>
  <dc:description/>
  <dc:language>pt-BR</dc:language>
  <cp:lastModifiedBy/>
  <dcterms:modified xsi:type="dcterms:W3CDTF">2025-06-01T15:22:46Z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