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Gene Regulatory Networks</w:t>
      </w:r>
    </w:p>
    <w:p>
      <w:pPr>
        <w:jc w:val="center"/>
      </w:pPr>
      <w:r>
        <w:rPr>
          <w:i/>
          <w:sz w:val="30"/>
        </w:rPr>
        <w:t>From Transcription Factor to Phenotype — Modeling the Logic of Gene Expression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9th Grade — Level 3: Biotech  |  Standard: HS-LS3-1, HS-LS1-4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Synthetic Gene Circuit for Biosensing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If every cell in your body has the same DNA, why is a brain cell so different from a skin cell?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controls which genes are turned on or off in a particular cell at a particular time?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a diagram showing how you think a cell 'reads' a gene and makes the protein it codes for — include as many steps as you can.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happens when a gene that should be turned off gets stuck in the 'on' position?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Gene Regulatory Networks system, we have these components:</w:t>
      </w:r>
    </w:p>
    <w:p/>
    <w:p>
      <w:r>
        <w:rPr>
          <w:b/>
          <w:sz w:val="22"/>
        </w:rPr>
        <w:t xml:space="preserve">  *  Transcription Factor Concentration: </w:t>
      </w:r>
      <w:r>
        <w:rPr>
          <w:sz w:val="22"/>
        </w:rPr>
        <w:t>The intracellular abundance of the regulatory protein that initiates the gene expression cascade — determined by the transcription factor's own production rate, degradation rate, and any upstream signals that regulate its activity</w:t>
      </w:r>
    </w:p>
    <w:p>
      <w:r>
        <w:rPr>
          <w:b/>
          <w:sz w:val="22"/>
        </w:rPr>
        <w:t xml:space="preserve">  *  Promoter Binding Affinity: </w:t>
      </w:r>
      <w:r>
        <w:rPr>
          <w:sz w:val="22"/>
        </w:rPr>
        <w:t>The strength of the molecular interaction between the transcription factor and its target promoter DNA sequence — determined by the complementarity of protein-DNA surfaces, measured in nanomolar dissociation constant (Kd)</w:t>
      </w:r>
    </w:p>
    <w:p>
      <w:r>
        <w:rPr>
          <w:b/>
          <w:sz w:val="22"/>
        </w:rPr>
        <w:t xml:space="preserve">  *  mRNA Transcription Rate: </w:t>
      </w:r>
      <w:r>
        <w:rPr>
          <w:sz w:val="22"/>
        </w:rPr>
        <w:t>The speed at which RNA polymerase synthesizes messenger RNA from the target gene template — dependent on Transcription Factor Concentration, Promoter Binding Affinity, and the availability of RNA polymerase and nucleotide precursors</w:t>
      </w:r>
    </w:p>
    <w:p>
      <w:r>
        <w:rPr>
          <w:b/>
          <w:sz w:val="22"/>
        </w:rPr>
        <w:t xml:space="preserve">  *  mRNA Degradation Rate: </w:t>
      </w:r>
      <w:r>
        <w:rPr>
          <w:sz w:val="22"/>
        </w:rPr>
        <w:t>The speed at which cellular ribonucleases break down messenger RNA molecules — mRNA half-lives range from 2 minutes (bacteria) to hours (mammalian cells), and degradation rate is a critical determinant of steady-state mRNA levels</w:t>
      </w:r>
    </w:p>
    <w:p>
      <w:r>
        <w:rPr>
          <w:b/>
          <w:sz w:val="22"/>
        </w:rPr>
        <w:t xml:space="preserve">  *  Ribosome Availability: </w:t>
      </w:r>
      <w:r>
        <w:rPr>
          <w:sz w:val="22"/>
        </w:rPr>
        <w:t>The fraction of the cell's ribosome pool that is free to translate the target mRNA — in rapidly growing cells, up to 80% of ribosomes may already be occupied translating other essential proteins, limiting translational capacity</w:t>
      </w:r>
    </w:p>
    <w:p>
      <w:r>
        <w:rPr>
          <w:b/>
          <w:sz w:val="22"/>
        </w:rPr>
        <w:t xml:space="preserve">  *  Protein Translation Rate: </w:t>
      </w:r>
      <w:r>
        <w:rPr>
          <w:sz w:val="22"/>
        </w:rPr>
        <w:t>The speed at which ribosomes synthesize the target protein from the mRNA template — dependent on mRNA stability, Ribosome Availability, codon usage efficiency, amino acid supply, and translation initiation signal strength</w:t>
      </w:r>
    </w:p>
    <w:p>
      <w:r>
        <w:rPr>
          <w:b/>
          <w:sz w:val="22"/>
        </w:rPr>
        <w:t xml:space="preserve">  *  Protein Degradation Rate: </w:t>
      </w:r>
      <w:r>
        <w:rPr>
          <w:sz w:val="22"/>
        </w:rPr>
        <w:t>The speed at which the target protein is broken down by cellular proteases (proteasome, autophagy) — protein half-lives range from minutes (cell cycle regulators) to days (structural proteins), and degradation is a key control point for rapid responses</w:t>
      </w:r>
    </w:p>
    <w:p>
      <w:r>
        <w:rPr>
          <w:b/>
          <w:sz w:val="22"/>
        </w:rPr>
        <w:t xml:space="preserve">  *  Feedback Signal Strength: </w:t>
      </w:r>
      <w:r>
        <w:rPr>
          <w:sz w:val="22"/>
        </w:rPr>
        <w:t>The intensity of the regulatory signal sent from the protein product back to influence its own transcription — in negative feedback, the protein represses its own gene; in positive feedback, the protein activates its own gene, creating fundamentally different dynamic behaviors</w:t>
      </w:r>
    </w:p>
    <w:p>
      <w:r>
        <w:rPr>
          <w:b/>
          <w:sz w:val="22"/>
        </w:rPr>
        <w:t xml:space="preserve">  *  Epigenetic Modification: </w:t>
      </w:r>
      <w:r>
        <w:rPr>
          <w:sz w:val="22"/>
        </w:rPr>
        <w:t>The degree of chromatin accessibility at the target gene locus — determined by DNA methylation, histone modifications, and chromatin remodeling enzyme activity, which set the baseline potential for gene activation regardless of transcription factor presence</w:t>
      </w:r>
    </w:p>
    <w:p>
      <w:r>
        <w:rPr>
          <w:b/>
          <w:sz w:val="22"/>
        </w:rPr>
        <w:t xml:space="preserve">  *  Regulatory Network Stability: </w:t>
      </w:r>
      <w:r>
        <w:rPr>
          <w:sz w:val="22"/>
        </w:rPr>
        <w:t>The overall robustness of the gene expression output to perturbations in any individual component — a well-designed regulatory network maintains consistent output despite molecular noise, environmental fluctuations, and stochastic variation in component levels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Steady-State Expression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transcription factor, open chromatin, negative feedback</w:t>
      </w:r>
    </w:p>
    <w:p>
      <w:r>
        <w:rPr>
          <w:i/>
          <w:sz w:val="22"/>
        </w:rPr>
        <w:t>What do you predict determines the final protein level — the production rates or the degradation rates?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Positive Feedback Switch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Strong positive autoregulation</w:t>
      </w:r>
    </w:p>
    <w:p>
      <w:r>
        <w:rPr>
          <w:i/>
          <w:sz w:val="22"/>
        </w:rPr>
        <w:t>What do you predict happens when a protein activates its own gene — does expression stabilize at a higher level or does something more interesting happen?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Epigenetic Silencing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Closed chromatin, high transcription factor</w:t>
      </w:r>
    </w:p>
    <w:p>
      <w:r>
        <w:rPr>
          <w:i/>
          <w:sz w:val="22"/>
        </w:rPr>
        <w:t>Do you predict that a high concentration of Transcription Factor can overcome epigenetic silencing of the target gene?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MicroRNA Regulation: </w:t>
      </w:r>
      <w:r>
        <w:rPr>
          <w:sz w:val="22"/>
        </w:rPr>
        <w:t>Small non-coding RNA molecules (18-25 nucleotides) that bind to complementary sequences in mRNA and either block translation or trigger mRNA degradation — adding a powerful post-transcriptional layer of gene regulation that affects over 60% of human genes</w:t>
      </w:r>
    </w:p>
    <w:p>
      <w:r>
        <w:rPr>
          <w:b/>
          <w:sz w:val="22"/>
        </w:rPr>
        <w:t xml:space="preserve">  *  Chromatin Remodeling Activity: </w:t>
      </w:r>
      <w:r>
        <w:rPr>
          <w:sz w:val="22"/>
        </w:rPr>
        <w:t>The activity of ATP-dependent chromatin remodeling complexes (SWI/SNF, ISWI, CHD, INO80) that physically reposition nucleosomes to expose or hide gene promoters — the molecular machines that execute epigenetic decisions about gene accessibility</w:t>
      </w:r>
    </w:p>
    <w:p>
      <w:r>
        <w:rPr>
          <w:b/>
          <w:sz w:val="22"/>
        </w:rPr>
        <w:t xml:space="preserve">  *  Stochastic Noise Level: </w:t>
      </w:r>
      <w:r>
        <w:rPr>
          <w:sz w:val="22"/>
        </w:rPr>
        <w:t>The inherent randomness in gene expression caused by the probabilistic nature of molecular interactions — when key regulatory molecules are present in low copy numbers (10-100 per cell), random fluctuations can cause genetically identical cells to express genes at dramatically different levels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gene expression is not a simple on-off switch but a dynamic balance of production and degradation at every level?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the functional difference between negative feedback and positive feedback in gene regulatory circuits — and what happens to Regulatory Network Stability in each case?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Epigenetic Modification act as a master override that can silence a gene regardless of Transcription Factor Concentration?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adding Stochastic Noise Level to your model change predictions about cell-to-cell variation in gene expression?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medical implications when gene regulatory networks malfunction — and how does your model help explain diseases like cancer?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Synthetic Gene Circuit for Biosensing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synthetic gene regulatory circuit that detects an environmental signal (toxin, pathogen, pollutant) and produces a visible output (fluorescent protein, color change, electronic signal) for use as a living biosensor.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water quality monitoring agency needs a low-cost, deployable biosensor that can detect heavy metal contamination (lead, arsenic, mercury) in drinking water supplies across rural communities where laboratory testing is unavailable. Your synthetic biology team must design a gene regulatory circuit that senses the presence of heavy metals and produces a visible fluorescent signal proportional to contamination level. The biosensor must be sensitive, specific, and stable.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How would you ensure the biosensor remains functional in variable environmental conditions (temperature, pH, salinity)?</w:t>
      </w:r>
    </w:p>
    <w:p>
      <w:pPr>
        <w:pStyle w:val="ListBullet"/>
      </w:pPr>
      <w:r>
        <w:rPr>
          <w:sz w:val="22"/>
        </w:rPr>
        <w:t>What output signal would be most practical for field deployment — fluorescence, color change, or electronic signal — and why?</w:t>
      </w:r>
    </w:p>
    <w:p>
      <w:pPr>
        <w:pStyle w:val="ListBullet"/>
      </w:pPr>
      <w:r>
        <w:rPr>
          <w:sz w:val="22"/>
        </w:rPr>
        <w:t>How would you calibrate the biosensor so that fluorescence intensity can be converted to a quantitative contamination reading?</w:t>
      </w:r>
    </w:p>
    <w:p>
      <w:pPr>
        <w:pStyle w:val="ListBullet"/>
      </w:pPr>
      <w:r>
        <w:rPr>
          <w:sz w:val="22"/>
        </w:rPr>
        <w:t>What biocontainment strategy would you use to prevent the engineered bacteria from escaping into the water supply being tested?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