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Style w:val="title"/>
        <w:spacing w:after="240"/>
        <w:jc w:val="center"/>
      </w:pPr>
      <w:r>
        <w:t xml:space="preserve">SUPERINTENDENT LEADERSHIP IN FOURTH INDUSTRIAL REVOLUTION EDUCATIONAL TRANSFORMATION: A LITERATURE REVIEW</w:t>
      </w:r>
    </w:p>
    <w:p>
      <w:pPr>
        <w:spacing w:after="240" w:line="48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Fourth Industrial Revolution; Superintendent Leadership; Educational Equity; Inquiry-Based Learning</w:t>
      </w:r>
    </w:p>
    <w:p>
      <w:pPr>
        <w:pStyle w:val="abstract"/>
        <w:spacing w:line="276" w:after="240"/>
        <w:ind w:left="720" w:right="720"/>
      </w:pPr>
      <w:r>
        <w:t xml:space="preserve">This literature review synthesizes research on superintendent leadership during the Fourth Industrial Revolution, examining how educational leaders navigate technological transformation while addressing persistent equity concerns. The review integrates interdisciplinary scholarship on Fourth Industrial Revolution workforce demands, digital divides, global education systems, historical racialization of technology access, inquiry-based learning pedagogies, and organizational change management strategies. Findings indicate that successful superintendent leadership requires strategically balancing technological innovation with equity-centered practices, transforming pedagogical approaches from industrial-era models to constructivist frameworks, and developing shared vision across diverse stakeholders. This comprehensive synthesis contributes significantly to understanding superintendent roles in preparing K-12 systems for Education 4.0.</w:t>
      </w:r>
    </w:p>
    <w:p/>
    <w:p>
      <w:pPr>
        <w:pStyle w:val="Title"/>
        <w:pStyle w:val="title"/>
        <w:spacing w:after="240"/>
        <w:jc w:val="center"/>
      </w:pPr>
      <w:r>
        <w:t xml:space="preserve">SUPERINTENDENT LEADERSHIP IN FOURTH INDUSTRIAL REVOLUTION EDUCATIONAL TRANSFORMATION: A LITERATURE REVIEW</w:t>
      </w:r>
    </w:p>
    <w:p>
      <w:pPr>
        <w:pStyle w:val="Heading1"/>
        <w:pStyle w:val="heading1"/>
        <w:spacing w:line="480" w:before="240" w:after="120"/>
      </w:pPr>
      <w:r>
        <w:t xml:space="preserve">INTRODUCTION</w:t>
      </w:r>
    </w:p>
    <w:p>
      <w:pPr>
        <w:spacing w:line="480"/>
        <w:ind w:firstLine="720"/>
      </w:pPr>
      <w:r>
        <w:rPr>
          <w:rFonts w:ascii="Times New Roman" w:cs="Times New Roman" w:eastAsia="Times New Roman" w:hAnsi="Times New Roman"/>
          <w:sz w:val="24"/>
          <w:szCs w:val="24"/>
        </w:rPr>
        <w:t xml:space="preserve">The Fourth Industrial Revolution, which is characterized by artificial intelligence, robotics, and ubiquitous connectivity, demands fundamentally different workforce competencies than traditional factory-model education provides (Schwab, 2016). Students need creativity, critical thinking, and collaborative problem-solving rather than procedural compliance (Kumar, 2025). Yet educational systems face persistent equity gaps, with differential technology access disadvantaging marginalized students (U.S. Department of Education, 2024). Superintendent leadership proves critical for navigating this transformation: 83% of teachers use generative AI tools while 25% question AI's educational value, illustrating the implementation complexity superintendents must address (Pew Research Center, 2024). School leaders must balance immediate technology demands with fundamental pedagogical transformation, address equity concerns, and build stakeholder support while requiring visionary leadership grounded in research-based frameworks adapted to local contexts.
</w:t>
      </w:r>
    </w:p>
    <w:p>
      <w:pPr>
        <w:spacing w:line="480"/>
        <w:ind w:firstLine="720"/>
      </w:pPr>
      <w:r>
        <w:rPr>
          <w:rFonts w:ascii="Times New Roman" w:cs="Times New Roman" w:eastAsia="Times New Roman" w:hAnsi="Times New Roman"/>
          <w:sz w:val="24"/>
          <w:szCs w:val="24"/>
        </w:rPr>
        <w:t xml:space="preserve">This review addresses three interconnected questions: First, what competencies does Fourth Industrial Revolution workforce research identify as essential? Second, how do historical and contemporary inequities shape technology access and educational outcomes? Third, what leadership strategies enable superintendents to successfully implement transformation while building stakeholder support and addressing resistance? Examining these questions through eight integrated sections (technological evolution, digital divides, global responses, historical racialization, school industrialization, inquiry-based learning, superintendent leadership, and organizational change) provides comprehensive foundation for understanding transformation challenges and evidence-based solutions.
</w:t>
      </w:r>
    </w:p>
    <w:p>
      <w:pPr>
        <w:pStyle w:val="Heading1"/>
        <w:pStyle w:val="heading1"/>
        <w:spacing w:line="480" w:before="240" w:after="120"/>
      </w:pPr>
      <w:r>
        <w:t xml:space="preserve">THE FOURTH INDUSTRIAL REVOLUTION AND WORKFORCE TRANSFORMATION</w:t>
      </w:r>
    </w:p>
    <w:p>
      <w:pPr>
        <w:pStyle w:val="Heading2"/>
        <w:pStyle w:val="heading2"/>
        <w:spacing w:line="480" w:before="240" w:after="120"/>
      </w:pPr>
      <w:r>
        <w:t xml:space="preserve">Technological Acceleration and Workforce Demands</w:t>
      </w:r>
    </w:p>
    <w:p>
      <w:pPr>
        <w:spacing w:line="480"/>
        <w:ind w:firstLine="720"/>
      </w:pPr>
      <w:r>
        <w:rPr>
          <w:rFonts w:ascii="Times New Roman" w:cs="Times New Roman" w:eastAsia="Times New Roman" w:hAnsi="Times New Roman"/>
          <w:sz w:val="24"/>
          <w:szCs w:val="24"/>
        </w:rPr>
        <w:t xml:space="preserve">Each industrial revolution transpires in progressively shorter timeframes: the First (1760-1840) spanned 80 years, the Second (1870-1914) lasted 44 years, the Third (1960-2000) extended 40 years, and the Fourth (2010-2030) projects just 20 years for complete transformation (Chace, 2016). This acceleration, driven by energy transitions from human labor to AI-powered systems, fundamentally reshapes labor market demands. Traditional factory-model education emphasizing procedural compliance becomes inadequate for Fourth Industrial Revolution success, which requires complex problem-solving, creativity, emotional intelligence, and adaptive thinking (Fiorelli, 2018; Kumar, 2025). Critically, traditional educational systems teaching rote memorization and task compliance inadequately prepare students for contemporary participation while perpetuating inequities. Marginalized students disproportionately attend schools emphasizing drill-and-practice instruction rather than higher-order thinking development (Dintersmith, 2018).
</w:t>
      </w:r>
    </w:p>
    <w:p>
      <w:pPr>
        <w:pStyle w:val="Heading2"/>
        <w:pStyle w:val="heading2"/>
        <w:spacing w:line="480" w:before="240" w:after="120"/>
      </w:pPr>
      <w:r>
        <w:t xml:space="preserve">Labor Market Disruption and Technological Unemployment</w:t>
      </w:r>
    </w:p>
    <w:p>
      <w:pPr>
        <w:spacing w:line="480"/>
        <w:ind w:firstLine="720"/>
      </w:pPr>
      <w:r>
        <w:rPr>
          <w:rFonts w:ascii="Times New Roman" w:cs="Times New Roman" w:eastAsia="Times New Roman" w:hAnsi="Times New Roman"/>
          <w:sz w:val="24"/>
          <w:szCs w:val="24"/>
        </w:rPr>
        <w:t xml:space="preserve">Historical patterns show each industrial revolution initially increases unemployment as machines replace human labor, followed by economic restructuring creating new employment categories requiring different skill sets. However, Fourth Industrial Revolution disruption differs qualitatively from previous technological transitions in ways that fundamentally challenge educational planning assumptions. Artificial intelligence and robotics perform cognitive tasks previously considered uniquely human, including medical diagnosis, legal research, financial analysis, and creative content generation (Metz, 2020; Perisic, 2018). Machine learning algorithms now outperform human experts in pattern recognition, data analysis, and predictive modeling across diverse domains from radiology to criminal justice risk assessment. Natural language processing enables automated customer service, document review, and preliminary research compilation. Generative AI tools create marketing content, design prototypes, and software code, displacing workers in fields previously considered automation-resistant. This cognitive automation creates unprecedented displacement challenges, as workers cannot simply move to adjacent fields when multiple industries simultaneously experience technological disruption.
</w:t>
      </w:r>
    </w:p>
    <w:p>
      <w:pPr>
        <w:spacing w:line="480"/>
        <w:ind w:firstLine="720"/>
      </w:pPr>
      <w:r>
        <w:rPr>
          <w:rFonts w:ascii="Times New Roman" w:cs="Times New Roman" w:eastAsia="Times New Roman" w:hAnsi="Times New Roman"/>
          <w:sz w:val="24"/>
          <w:szCs w:val="24"/>
        </w:rPr>
        <w:t xml:space="preserve">Automation threatens 47% of U.S. employment within two decades, with simultaneous displacement across industries eliminating traditional retraining pathways (Frey &amp; Osborne, 2017). Schools emphasizing standardized tests and procedural compliance prepare students for automation-vulnerable positions, while inquiry-based instruction developing creativity and critical thinking creates automation-resistant capabilities (Atanasoski &amp; Vora, 2019).
</w:t>
      </w:r>
    </w:p>
    <w:p>
      <w:pPr>
        <w:spacing w:line="480"/>
        <w:ind w:firstLine="720"/>
      </w:pPr>
      <w:r>
        <w:rPr>
          <w:rFonts w:ascii="Times New Roman" w:cs="Times New Roman" w:eastAsia="Times New Roman" w:hAnsi="Times New Roman"/>
          <w:sz w:val="24"/>
          <w:szCs w:val="24"/>
        </w:rPr>
        <w:t xml:space="preserve">Education 4.0 transformation requires fundamental pedagogical shifts from instructivist to constructivist approaches, emphasizing inquiry-based learning where students construct knowledge through authentic problem-solving rather than passive information reception (World Economic Forum, 2024). The World Economic Forum identifies eight pivotal transformations: global citizenship, innovation/creativity, technology skills, interpersonal skills, personalized learning, inclusive access, problem-based learning, and lifelong learning. Successfully implementing these transformations demands superintendent leadership capable of navigating organizational change, building stakeholder support, and sustaining implementation through inevitable resistance.
</w:t>
      </w:r>
    </w:p>
    <w:p>
      <w:pPr>
        <w:pStyle w:val="Heading1"/>
        <w:pStyle w:val="heading1"/>
        <w:spacing w:line="480" w:before="240" w:after="120"/>
      </w:pPr>
      <w:r>
        <w:t xml:space="preserve">DIGITAL DIVIDES AND EDUCATIONAL EQUITY</w:t>
      </w:r>
    </w:p>
    <w:p>
      <w:pPr>
        <w:pStyle w:val="Heading2"/>
        <w:pStyle w:val="heading2"/>
        <w:spacing w:line="480" w:before="240" w:after="120"/>
      </w:pPr>
      <w:r>
        <w:t xml:space="preserve">Three Levels of Digital Inequality</w:t>
      </w:r>
    </w:p>
    <w:p>
      <w:pPr>
        <w:spacing w:line="480"/>
        <w:ind w:firstLine="720"/>
      </w:pPr>
      <w:r>
        <w:rPr>
          <w:rFonts w:ascii="Times New Roman" w:cs="Times New Roman" w:eastAsia="Times New Roman" w:hAnsi="Times New Roman"/>
          <w:sz w:val="24"/>
          <w:szCs w:val="24"/>
        </w:rPr>
        <w:t xml:space="preserve">The 2024 National Educational Technology Plan identifies three compound inequality dimensions. The </w:t>
      </w:r>
      <w:r>
        <w:rPr>
          <w:rFonts w:ascii="Times New Roman" w:cs="Times New Roman" w:eastAsia="Times New Roman" w:hAnsi="Times New Roman"/>
          <w:b/>
          <w:bCs/>
          <w:sz w:val="24"/>
          <w:szCs w:val="24"/>
        </w:rPr>
        <w:t xml:space="preserve">access divide</w:t>
      </w:r>
      <w:r>
        <w:rPr>
          <w:rFonts w:ascii="Times New Roman" w:cs="Times New Roman" w:eastAsia="Times New Roman" w:hAnsi="Times New Roman"/>
          <w:sz w:val="24"/>
          <w:szCs w:val="24"/>
        </w:rPr>
        <w:t xml:space="preserve"> concerns devices, connectivity, and technical support. While 96% of high school students access smartphones and 87% access laptops, quality disparities persist: higher-income students access reliable, high-performance devices with home internet and technical support, while low-income students rely on outdated smartphones with limited functionality (ACT, 2024; U.S. Department of Education, 2024). The </w:t>
      </w:r>
      <w:r>
        <w:rPr>
          <w:rFonts w:ascii="Times New Roman" w:cs="Times New Roman" w:eastAsia="Times New Roman" w:hAnsi="Times New Roman"/>
          <w:b/>
          <w:bCs/>
          <w:sz w:val="24"/>
          <w:szCs w:val="24"/>
        </w:rPr>
        <w:t xml:space="preserve">use divide</w:t>
      </w:r>
      <w:r>
        <w:rPr>
          <w:rFonts w:ascii="Times New Roman" w:cs="Times New Roman" w:eastAsia="Times New Roman" w:hAnsi="Times New Roman"/>
          <w:sz w:val="24"/>
          <w:szCs w:val="24"/>
        </w:rPr>
        <w:t xml:space="preserve"> describes how differential opportunities create achievement gaps despite narrowing access: affluent students use technology for coding, multimedia creation, and research publication developing marketable skills, while low-income students primarily consume entertainment (Toyama, 2010). The </w:t>
      </w:r>
      <w:r>
        <w:rPr>
          <w:rFonts w:ascii="Times New Roman" w:cs="Times New Roman" w:eastAsia="Times New Roman" w:hAnsi="Times New Roman"/>
          <w:b/>
          <w:bCs/>
          <w:sz w:val="24"/>
          <w:szCs w:val="24"/>
        </w:rPr>
        <w:t xml:space="preserve">design divide</w:t>
      </w:r>
      <w:r>
        <w:rPr>
          <w:rFonts w:ascii="Times New Roman" w:cs="Times New Roman" w:eastAsia="Times New Roman" w:hAnsi="Times New Roman"/>
          <w:sz w:val="24"/>
          <w:szCs w:val="24"/>
        </w:rPr>
        <w:t xml:space="preserve"> addresses educators' capacity to design technology-enhanced learning experiences promoting critical thinking. Teachers often lack understanding of how digital tools support thinking versus drill-and-practice instruction. Providing devices without pedagogical transformation and educator professional development merely magnifies existing inequities (Digital Promise, 2024; Center for American Progress, 2024).
</w:t>
      </w:r>
    </w:p>
    <w:p>
      <w:pPr>
        <w:pStyle w:val="Heading2"/>
        <w:pStyle w:val="heading2"/>
        <w:spacing w:line="480" w:before="240" w:after="120"/>
      </w:pPr>
      <w:r>
        <w:t xml:space="preserve">Critical Perspectives on Technology Integration and AI Adoption</w:t>
      </w:r>
    </w:p>
    <w:p>
      <w:pPr>
        <w:spacing w:line="480"/>
        <w:ind w:firstLine="720"/>
      </w:pPr>
      <w:r>
        <w:rPr>
          <w:rFonts w:ascii="Times New Roman" w:cs="Times New Roman" w:eastAsia="Times New Roman" w:hAnsi="Times New Roman"/>
          <w:sz w:val="24"/>
          <w:szCs w:val="24"/>
        </w:rPr>
        <w:t xml:space="preserve">Hattie's (2012) meta-analysis showing technology's "zero effect" on achievement (measured through standardized tests aligned with rote memorization) overlooks that when technology accompanies pedagogical transformation emphasizing creativity and critical thinking, research demonstrates substantial positive effects (Bergeron &amp; Rivard, 2017). The technology itself proves neutral; instructional approach determines impact. Superintendents must therefore ensure teachers receive professional development supporting constructivist practice rather than simply digitizing traditional instruction.
</w:t>
      </w:r>
    </w:p>
    <w:p>
      <w:pPr>
        <w:spacing w:line="480"/>
        <w:ind w:firstLine="720"/>
      </w:pPr>
      <w:r>
        <w:rPr>
          <w:rFonts w:ascii="Times New Roman" w:cs="Times New Roman" w:eastAsia="Times New Roman" w:hAnsi="Times New Roman"/>
          <w:sz w:val="24"/>
          <w:szCs w:val="24"/>
        </w:rPr>
        <w:t xml:space="preserve">Recent research on generative AI adoption illustrates this complexity while highlighting both opportunities and serious concerns requiring careful superintendent leadership. Research on ChatGPT in K-12 education shows AI tools can support educators while raising concerns about academic integrity and pedagogical appropriateness (Zhang et al., 2024). Studies demonstrate that AI effectiveness depends on instructional design quality, as thoughtful integration supports learning while superficial substitution may harm outcomes.
</w:t>
      </w:r>
    </w:p>
    <w:p>
      <w:pPr>
        <w:spacing w:line="480"/>
        <w:ind w:firstLine="720"/>
      </w:pPr>
      <w:r>
        <w:rPr>
          <w:rFonts w:ascii="Times New Roman" w:cs="Times New Roman" w:eastAsia="Times New Roman" w:hAnsi="Times New Roman"/>
          <w:sz w:val="24"/>
          <w:szCs w:val="24"/>
        </w:rPr>
        <w:t xml:space="preserve">A 2025 systematic review examining generative AI in K-12 education analyzed 30 papers (19 from 2024), revealing both significant opportunities and substantial challenges requiring careful navigation (Frontiers in Education, 2025). Benefits included personalized learning support through adaptive feedback responsive to individual student needs, differentiation capabilities enabling teachers to modify instruction for diverse learners, and optimization of student learning experiences through customized scaffolding. AI tools demonstrated potential for supporting English language learners through translation assistance, providing accessibility accommodations for students with disabilities, and offering individualized practice opportunities addressing specific skill gaps. However, the review emphasized that AI effectiveness depends entirely on how teachers integrate these tools within coherent pedagogical frameworks emphasizing critical thinking, creativity, and authentic problem-solving rather than passive consumption of AI-generated content. Teachers must develop sophisticated understanding of AI capabilities and limitations, design learning activities leveraging AI for intellectual development rather than intellectual dependency, and maintain focus on developing student capacities that AI cannot replicate including ethical reasoning, creative innovation, and collaborative problem-solving. Superintendents therefore face the complex challenge of supporting AI adoption while ensuring implementation advances rather than undermines fundamental educational goals.
</w:t>
      </w:r>
    </w:p>
    <w:p>
      <w:pPr>
        <w:spacing w:line="480"/>
        <w:ind w:firstLine="720"/>
      </w:pPr>
      <w:r>
        <w:rPr>
          <w:rFonts w:ascii="Times New Roman" w:cs="Times New Roman" w:eastAsia="Times New Roman" w:hAnsi="Times New Roman"/>
          <w:sz w:val="24"/>
          <w:szCs w:val="24"/>
        </w:rPr>
        <w:t xml:space="preserve">standardized achievement measures fail to capture Fourth Industrial Revolution competencies including complex problem-solving requiring integration of multiple knowledge domains, adaptive thinking enabling navigation of novel situations, emotional intelligence supporting effective interpersonal collaboration, and collaborative capacity essential for distributed work teams (Dintersmith, 2018; Wagner &amp; Dintersmith, 2016). Educational systems measuring success through outdated metrics inevitably produce outdated outcomes regardless of technology investment or innovative pedagogy implementation. This measurement challenge creates serious accountability dilemmas for superintendents, as schools implementing transformative practices that develop future-ready competencies may demonstrate lower standardized test performance than schools maintaining traditional drill-and-practice instruction focused specifically on test content. Superintendents must therefore advocate for assessment system reforms while navigating existing accountability structures that potentially punish precisely those schools best preparing students for Fourth Industrial Revolution workforce participation and civic engagement.
</w:t>
      </w:r>
    </w:p>
    <w:p>
      <w:pPr>
        <w:pStyle w:val="Heading1"/>
        <w:pStyle w:val="heading1"/>
        <w:spacing w:line="480" w:before="240" w:after="120"/>
      </w:pPr>
      <w:r>
        <w:t xml:space="preserve">GLOBAL PERSPECTIVES ON EDUCATION 4.0</w:t>
      </w:r>
    </w:p>
    <w:p>
      <w:pPr>
        <w:spacing w:line="480"/>
        <w:ind w:firstLine="720"/>
      </w:pPr>
      <w:r>
        <w:rPr>
          <w:rFonts w:ascii="Times New Roman" w:cs="Times New Roman" w:eastAsia="Times New Roman" w:hAnsi="Times New Roman"/>
          <w:sz w:val="24"/>
          <w:szCs w:val="24"/>
        </w:rPr>
        <w:t xml:space="preserve">Global education systems show divergent responses to Fourth Industrial Revolution demands. High-performing OECD nations emphasize inquiry-based pedagogies, reduced high-stakes testing, competency-based progression, and substantial teacher professional development, while maintaining strong results on international assessments measuring deeper learning (OECD, 2018; Kumar, 2025). Singapore, Finland, Estonia, and South Korea exemplify this shift, prioritizing creativity and critical thinking while achieving strong educational outcomes. Conversely, nations maintaining teacher-centered instruction, standardized curricula, and high-stakes testing demonstrate growing workforce-education misalignment.
</w:t>
      </w:r>
    </w:p>
    <w:p>
      <w:pPr>
        <w:spacing w:line="480"/>
        <w:ind w:firstLine="720"/>
      </w:pPr>
      <w:r>
        <w:rPr>
          <w:rFonts w:ascii="Times New Roman" w:cs="Times New Roman" w:eastAsia="Times New Roman" w:hAnsi="Times New Roman"/>
          <w:sz w:val="24"/>
          <w:szCs w:val="24"/>
        </w:rPr>
        <w:t xml:space="preserve">The United States Common Core State Standards Initiative (2010) attempted standardization precisely when global trends emphasize flexibility responsive to diverse student needs. While Common Core rhetoric emphasized deeper learning, implementation mechanisms including standardized tests and rigid pacing guides incentivized traditional instruction focused on content coverage rather than competency development (Mehta &amp; Fine, 2019). Research confirms pedagogical practices remained largely unchanged despite new standards, with persistent accountability pressures for test scores overwhelming standards' transformation potential. Critical inequity: affluent schools adopted inquiry-based practices and reduced testing while low-income schools maintained compliance-focused instruction, perpetuating the pattern where marginalized students receive factory-model preparation for subordinate positions while privileged students develop leadership capacities. This pattern demonstrates that standards reform alone proves insufficient without simultaneous attention to resource allocation, professional capacity building, and equity-centered leadership.
</w:t>
      </w:r>
    </w:p>
    <w:p>
      <w:pPr>
        <w:pStyle w:val="Heading1"/>
        <w:pStyle w:val="heading1"/>
        <w:spacing w:line="480" w:before="240" w:after="120"/>
      </w:pPr>
      <w:r>
        <w:t xml:space="preserve">HISTORICAL RACIALIZATION OF TECHNOLOGY AND EDUCATION</w:t>
      </w:r>
    </w:p>
    <w:p>
      <w:pPr>
        <w:spacing w:line="480"/>
        <w:ind w:firstLine="720"/>
      </w:pPr>
      <w:r>
        <w:rPr>
          <w:rFonts w:ascii="Times New Roman" w:cs="Times New Roman" w:eastAsia="Times New Roman" w:hAnsi="Times New Roman"/>
          <w:sz w:val="24"/>
          <w:szCs w:val="24"/>
        </w:rPr>
        <w:t xml:space="preserve">Critical race theory analysis reveals how Western narratives systematically erased African technological contributions while exploiting African innovation for colonial benefit. Pre-colonial African civilizations demonstrated sophisticated technological development contradicting racist narratives positioning Africa as technologically primitive. Examples include Egyptian pyramids using advanced mathematics and engineering, Tanzanian high-carbon steel production (2,000 years ago) with superior smelting compared to European equivalents, and African metallurgical advancement exceeding European capabilities for extended periods (Lynch &amp; Robbins, 1979; Van Sertima, 1983). European colonizers simultaneously denied African innovation capacity and extracted technological expertise, establishing patterns persisting today where technological advancement is attributed to dominant groups while marginalized communities' contributions remain unacknowledged or appropriated without credit.
</w:t>
      </w:r>
    </w:p>
    <w:p>
      <w:pPr>
        <w:spacing w:line="480"/>
        <w:ind w:firstLine="720"/>
      </w:pPr>
      <w:r>
        <w:rPr>
          <w:rFonts w:ascii="Times New Roman" w:cs="Times New Roman" w:eastAsia="Times New Roman" w:hAnsi="Times New Roman"/>
          <w:sz w:val="24"/>
          <w:szCs w:val="24"/>
        </w:rPr>
        <w:t xml:space="preserve">Enslavement of Africans represented systematic extraction of technological knowledge, with enslaved people's expertise in agriculture, metallurgy, construction, and navigation proving essential for colonial development. European colonizers benefited enormously from this technological knowledge while denying enslaved people's intellectual contributions and attributing innovations to European "ingenuity" (Atanasoski &amp; Vora, 2019). This extraction established patterns persisting today where technological innovation is systematically attributed to dominant groups. Contemporary technology sectors demonstrate similar dynamics with immigrant technologists and racial minority innovators experiencing systematic undervaluation, stolen intellectual property, and exclusion from entrepreneurial opportunities despite substantial contributions.
</w:t>
      </w:r>
    </w:p>
    <w:p>
      <w:pPr>
        <w:spacing w:line="480"/>
        <w:ind w:firstLine="720"/>
      </w:pPr>
      <w:r>
        <w:rPr>
          <w:rFonts w:ascii="Times New Roman" w:cs="Times New Roman" w:eastAsia="Times New Roman" w:hAnsi="Times New Roman"/>
          <w:sz w:val="24"/>
          <w:szCs w:val="24"/>
        </w:rPr>
        <w:t xml:space="preserve">Literary and policy documents from enslavement through industrialization explicitly equated enslaved people with machines and workers with animals. Frederick Taylor described "an educated ape as the best factory worker," emphasizing preference for mindless compliance over human intelligence, which was precisely the worker characteristic industrial systems demanded (Noble, 2011). These ideological equations justified excluding marginalized people from technological education while exploiting their knowledge when beneficial to dominant interests.
</w:t>
      </w:r>
    </w:p>
    <w:p>
      <w:pPr>
        <w:spacing w:line="480"/>
        <w:ind w:firstLine="720"/>
      </w:pPr>
      <w:r>
        <w:rPr>
          <w:rFonts w:ascii="Times New Roman" w:cs="Times New Roman" w:eastAsia="Times New Roman" w:hAnsi="Times New Roman"/>
          <w:sz w:val="24"/>
          <w:szCs w:val="24"/>
        </w:rPr>
        <w:t xml:space="preserve">American education industrialization during late 19th and early 20th centuries intentionally aligned school systems with factory models through age-based grade segregation, standardized curricula, time-based progression, and hierarchical management structures. However, educational factorization served eugenic purposes extending beyond economic efficiency to include explicit racial sorting through intelligence testing, tracking systems, and differential curricula. These mechanisms explicitly assigned students to educational pathways based on race and class, preparing privileged students for professional positions while confining marginalized students to subordinate roles through limited curriculum access and diminished expectations (Kliebard, 2004). Tracking systems institutionalized discriminatory assessments by segregating students into "college preparatory" and "vocational" pathways systematically correlated with race and class rather than actual capability.
</w:t>
      </w:r>
    </w:p>
    <w:p>
      <w:pPr>
        <w:spacing w:line="480"/>
        <w:ind w:firstLine="720"/>
      </w:pPr>
      <w:r>
        <w:rPr>
          <w:rFonts w:ascii="Times New Roman" w:cs="Times New Roman" w:eastAsia="Times New Roman" w:hAnsi="Times New Roman"/>
          <w:sz w:val="24"/>
          <w:szCs w:val="24"/>
        </w:rPr>
        <w:t xml:space="preserve">Contemporary educational structures maintain these factory-model characteristics despite Fourth Industrial Revolution transformations fundamentally changing workforce demands and economic structures. Accountability systems emphasizing standardized test scores incentivize instructivist teaching prioritizing content coverage and test preparation over deeper learning and competency development. Curriculum standardization through adopted textbooks and pacing guides limits authentic problem-solving opportunities while reducing teacher professional judgment. Tracking systems continue segregating students through "ability grouping," "honors" versus "regular" courses, and "gifted and talented" programs that maintain racial and class stratification patterns established during eugenic era. Pedagogical practices remain aligned with industrial-era rather than contemporary workforce demands, emphasizing memorization and procedural compliance rather than creativity and collaborative problem-solving (Darling-Hammond, 2015; Dintersmith, 2018). These persistent structures create serious barriers to Fourth Industrial Revolution transformation, as organizational cultures embedded in factory-model assumptions resist pedagogical innovations requiring different time structures, assessment approaches, teacher roles, and student relationships. Superintendent leadership therefore requires addressing not merely surface-level practice changes but fundamental organizational restructuring confronting historical origins and contemporary manifestations of educational inequity.
</w:t>
      </w:r>
    </w:p>
    <w:p>
      <w:pPr>
        <w:pStyle w:val="Heading1"/>
        <w:pStyle w:val="heading1"/>
        <w:spacing w:line="480" w:before="240" w:after="120"/>
      </w:pPr>
      <w:r>
        <w:t xml:space="preserve">INQUIRY-BASED LEARNING AND PEDAGOGICAL TRANSFORMATION</w:t>
      </w:r>
    </w:p>
    <w:p>
      <w:pPr>
        <w:spacing w:line="480"/>
        <w:ind w:firstLine="720"/>
      </w:pPr>
      <w:r>
        <w:rPr>
          <w:rFonts w:ascii="Times New Roman" w:cs="Times New Roman" w:eastAsia="Times New Roman" w:hAnsi="Times New Roman"/>
          <w:sz w:val="24"/>
          <w:szCs w:val="24"/>
        </w:rPr>
        <w:t xml:space="preserve">Research on inquiry-based learning (IBL) demonstrates substantial positive impacts on critical thinking and future-ready competencies. A 2024 meta-analysis of 36 studies found a 1.27 effect size for critical thinking development, indicating students receiving IBL develop thinking skills approximately one standard deviation higher than traditional instruction students (Maknun &amp; Rukmini, 2024). Implementation quality significantly influences outcomes, requiring teacher professional development, instructional scaffolding, and authentic assessment aligned with inquiry practices (Afrin et al., 2025; Nature Scientific Reports, 2024).
</w:t>
      </w:r>
    </w:p>
    <w:p>
      <w:pPr>
        <w:spacing w:line="480"/>
        <w:ind w:firstLine="720"/>
      </w:pPr>
      <w:r>
        <w:rPr>
          <w:rFonts w:ascii="Times New Roman" w:cs="Times New Roman" w:eastAsia="Times New Roman" w:hAnsi="Times New Roman"/>
          <w:sz w:val="24"/>
          <w:szCs w:val="24"/>
        </w:rPr>
        <w:t xml:space="preserve">However, IBL shows neutral or negative effects on standardized test performance, illustrating a fundamental measurement challenge: standardized tests assess industrial-era competencies while IBL develops future-oriented skills including complex problem-solving, creativity, and collaboration that tests cannot adequately capture (Kingston, 2018). Schools implementing transformative pedagogies may face lower test scores despite developing more valuable competencies, creating perverse incentive structures superintendents must navigate carefully. This dilemma requires authentic demonstrations of competency, community impact through student self-agency, and problem-posing learning where students investigate authentic questions with genuine uncertainty rather than standardized metrics reducing complex learning to simplistic scores (Freire, 2000).
</w:t>
      </w:r>
    </w:p>
    <w:p>
      <w:pPr>
        <w:spacing w:line="480"/>
        <w:ind w:firstLine="720"/>
      </w:pPr>
      <w:r>
        <w:rPr>
          <w:rFonts w:ascii="Times New Roman" w:cs="Times New Roman" w:eastAsia="Times New Roman" w:hAnsi="Times New Roman"/>
          <w:sz w:val="24"/>
          <w:szCs w:val="24"/>
        </w:rPr>
        <w:t xml:space="preserve">However, accountability structures create significant barriers to equitable implementation. Schools serving marginalized populations face intense pressure for test score improvement incentivizing factory-model instruction, while privileged students receive enriched, inquiry-based instruction preparing them for leadership (Heilig et al., 2013). Transforming this dynamic requires community-based accountability empowering historically marginalized communities to define achievement, combined with alternative accountability approaches including growth portfolios and competency-based rubrics enabling transformative pedagogies without punishment (Cohen &amp; Singh, 2020). Successful implementation demands sustained, job-embedded professional development with collaborative planning, coaching, and ongoing learning (not one-day workshops) alongside organizational cultures valuing continuous improvement and equitable access across all schools.
</w:t>
      </w:r>
    </w:p>
    <w:p>
      <w:pPr>
        <w:pStyle w:val="Heading1"/>
        <w:pStyle w:val="heading1"/>
        <w:spacing w:line="480" w:before="240" w:after="120"/>
      </w:pPr>
      <w:r>
        <w:t xml:space="preserve">SUPERINTENDENT LEADERSHIP IN DIGITAL TRANSFORMATION</w:t>
      </w:r>
    </w:p>
    <w:p>
      <w:pPr>
        <w:pStyle w:val="Heading2"/>
        <w:pStyle w:val="heading2"/>
        <w:spacing w:line="480" w:before="240" w:after="120"/>
      </w:pPr>
      <w:r>
        <w:t xml:space="preserve">Organizational Change Management</w:t>
      </w:r>
    </w:p>
    <w:p>
      <w:pPr>
        <w:spacing w:line="480"/>
        <w:ind w:firstLine="720"/>
      </w:pPr>
      <w:r>
        <w:rPr>
          <w:rFonts w:ascii="Times New Roman" w:cs="Times New Roman" w:eastAsia="Times New Roman" w:hAnsi="Times New Roman"/>
          <w:sz w:val="24"/>
          <w:szCs w:val="24"/>
        </w:rPr>
        <w:t xml:space="preserve">Educational leadership literature extensively examines superintendent roles in organizational transformation, providing frameworks for understanding change processes while emphasizing implementation challenges requiring adaptive leadership. Kotter's (2012) influential eight-stage change process emphasizes sequential steps including creating urgency about transformation necessity, building guiding coalitions representing diverse stakeholder perspectives, developing compelling vision articulating desired future state, communicating vision consistently through multiple channels, empowering action by removing obstacles and providing resources, generating short-term wins demonstrating progress and building momentum, consolidating gains through continued effort avoiding premature celebration, and anchoring change in organizational culture through norm shifts and structural modifications. Fullan's (2011, 2016) coherence framework similarly stresses focused direction aligning efforts toward clear goals, cultivating collaborative cultures supporting collective efficacy, deepening learning through ongoing capacity building, and securing accountability balancing internal improvement focus with external performance expectations. These frameworks provide valuable organizational change structure while requiring substantial adaptation for educational contexts addressing equity concerns alongside technological transformation, as neither framework explicitly centers racial justice or recognizes how historical inequities shape contemporary resistance patterns.
</w:t>
      </w:r>
    </w:p>
    <w:p>
      <w:pPr>
        <w:spacing w:line="480"/>
        <w:ind w:firstLine="720"/>
      </w:pPr>
      <w:r>
        <w:rPr>
          <w:rFonts w:ascii="Times New Roman" w:cs="Times New Roman" w:eastAsia="Times New Roman" w:hAnsi="Times New Roman"/>
          <w:sz w:val="24"/>
          <w:szCs w:val="24"/>
        </w:rPr>
        <w:t xml:space="preserve">Post-pandemic research reveals superintendents face unprecedented challenges that complicate technology transformation efforts while demanding immediate attention and resources. District leaders report that 52% experience increased instructional staff vacancies, with hiring and retaining qualified teachers identified as the most urgent issue facing educational leadership in 2024. This represents a crisis threatening implementation of any pedagogical transformation regardless of merit or strategic priority (District Administration, 2024). Teacher shortages create vicious cycles where remaining faculty experience increased workloads, reduced planning time, and greater stress. These are conditions undermining capacity for learning new pedagogical approaches or implementing technology integration initiatives. Superintendents must simultaneously navigate multiple complex dynamics including resistant organizational cultures rooted in industrial-era practices and defended by stakeholders invested in traditional approaches, diverse stakeholder groups with competing priorities ranging from test score maximization to experiential learning emphasis, resource constraints limiting technology infrastructure investment and professional development provision, accountability systems incentivizing traditional approaches despite innovation rhetoric from policymakers, and historical inequities embedded in educational structures through tracking, resource allocation, and opportunity distribution. These intersecting challenges demand superintendent leadership capable of strategic prioritization, stakeholder engagement, resource mobilization, and sustained commitment despite inevitable setbacks and resistance.
</w:t>
      </w:r>
    </w:p>
    <w:p>
      <w:pPr>
        <w:spacing w:line="480"/>
        <w:ind w:firstLine="720"/>
      </w:pPr>
      <w:r>
        <w:rPr>
          <w:rFonts w:ascii="Times New Roman" w:cs="Times New Roman" w:eastAsia="Times New Roman" w:hAnsi="Times New Roman"/>
          <w:sz w:val="24"/>
          <w:szCs w:val="24"/>
        </w:rPr>
        <w:t xml:space="preserve">Recent analysis examining digital leadership in Fourth Industrial Revolution contexts during COVID-19 pandemic emphasizes that organizations must invest substantially in helping leaders acquire digital leadership skills rather than assuming technical competence translates automatically to leadership effectiveness (Asenahabi &amp; Zewdie, 2024). Effective digital leadership requires fostering digital literacy enabling critical evaluation of technology options and pedagogical applications, cultivating adaptability to rapid technology changes avoiding obsolescence as tools evolve, and creating organizational cultures encouraging digital innovation through experimentation, risk-taking, and learning from failures. Technology-savvy superintendents advocate the importance of calculated risk-taking where innovation failures provide learning opportunities rather than triggering punishment, vision setting that connects technology transformation to improved student outcomes and community aspirations, collaboration across organizational boundaries breaking down traditional silos, and clear expectations establishing accountability while providing implementation support (K-12 Dive, 2024). These leadership practices recognize that effective technology leadership fundamentally reflects good leadership more broadly, requiring vision, relationship-building, capacity development, and persistence, rather than constituting entirely separate skillset. Research examining successful technology-focused superintendents identifies common practices including articulating compelling vision connecting technological transformation to improved student outcomes and educational equity advancement, building broad stakeholder coalitions including teachers, parents, community members, and students ensuring diverse perspective representation, providing sustained professional development emphasizing pedagogical transformation alongside technology skills rather than superficial tool training, addressing equity explicitly through targeted resource allocation and culturally responsive practices ensuring marginalized students benefit from transformation, and creating accountability systems measuring future-oriented competencies rather than solely standardized test performance (Fullan et al., 2018).
</w:t>
      </w:r>
    </w:p>
    <w:p>
      <w:pPr>
        <w:pStyle w:val="Heading2"/>
        <w:pStyle w:val="heading2"/>
        <w:spacing w:line="480" w:before="240" w:after="120"/>
      </w:pPr>
      <w:r>
        <w:t xml:space="preserve">Shared Vision and Distributed Leadership</w:t>
      </w:r>
    </w:p>
    <w:p>
      <w:pPr>
        <w:spacing w:line="480"/>
        <w:ind w:firstLine="720"/>
      </w:pPr>
      <w:r>
        <w:rPr>
          <w:rFonts w:ascii="Times New Roman" w:cs="Times New Roman" w:eastAsia="Times New Roman" w:hAnsi="Times New Roman"/>
          <w:sz w:val="24"/>
          <w:szCs w:val="24"/>
        </w:rPr>
        <w:t xml:space="preserve">Effective superintendent leadership requires developing shared vision across diverse stakeholders rather than imposing top-down directives that generate compliance without genuine commitment or understanding. Shared vision emerges through authentic engagement processes where stakeholders collaboratively construct understanding of transformation necessity, collectively identify desired outcomes reflecting community values and aspirations, and jointly develop implementation strategies addressing local contexts, available resources, and specific community needs (Kotter, 2012). This collaborative approach differs fundamentally from superficial "stakeholder input" where leaders predetermine desired outcomes then conduct pro forma consultation generating appearance of participation without genuine influence. Authentic shared vision development requires creating multiple engagement opportunities including community forums, focus groups, surveys, classroom visits, and ongoing dialogue that enables diverse voices to shape transformation direction. Superintendents must facilitate rather than dictate these processes, bringing educational expertise while remaining genuinely open to community wisdom about student needs, cultural contexts, and implementation barriers that insider perspectives might overlook. Shared vision proves particularly essential for technology transformation, as community members hold varying assumptions about technology's educational role ranging from enthusiastic embrace to deep skepticism. These perspectives require respectful engagement rather than dismissive rhetoric.
</w:t>
      </w:r>
    </w:p>
    <w:p>
      <w:pPr>
        <w:spacing w:line="480"/>
        <w:ind w:firstLine="720"/>
      </w:pPr>
      <w:r>
        <w:rPr>
          <w:rFonts w:ascii="Times New Roman" w:cs="Times New Roman" w:eastAsia="Times New Roman" w:hAnsi="Times New Roman"/>
          <w:sz w:val="24"/>
          <w:szCs w:val="24"/>
        </w:rPr>
        <w:t xml:space="preserve">However, vision development alone proves insufficient without simultaneous attention to implementation capacity; superintendents must enable distributed leadership where educators at all organizational levels exercise agency in transformation processes rather than functioning as passive directive implementers (Fullan, 2016). Distributed leadership involves creating collaborative structures supporting teacher teams in designing curriculum, developing assessments, and solving implementation challenges through collective expertise. It requires providing dedicated time during contracted hours for collaborative work rather than expecting voluntary after-school participation that burdens already-stretched educators while excluding those with family or second-job responsibilities. Distributed leadership includes providing resources supporting innovative practice development including technology tools, instructional materials, professional learning opportunities, and expert coaching. It means celebrating risk-taking and learning from failures through reflective analysis rather than punishing unsuccessful innovation attempts, creating psychological safety enabling honest conversation about implementation challenges. Distributed leadership requires fundamental shifts from compliance-oriented organizational cultures emphasizing rule-following and directive implementation to learning-oriented cultures valuing experimentation, inquiry, and continuous improvement based on evidence and professional judgment rather than bureaucratic mandates.
</w:t>
      </w:r>
    </w:p>
    <w:p>
      <w:pPr>
        <w:spacing w:line="480"/>
        <w:ind w:firstLine="720"/>
      </w:pPr>
      <w:r>
        <w:rPr>
          <w:rFonts w:ascii="Times New Roman" w:cs="Times New Roman" w:eastAsia="Times New Roman" w:hAnsi="Times New Roman"/>
          <w:sz w:val="24"/>
          <w:szCs w:val="24"/>
        </w:rPr>
        <w:t xml:space="preserve">Recent examples demonstrate successful implementation combining rapid transformation with distributed leadership and shared vision development. When one superintendent assumed leadership in April 2020 during pandemic onset, his technology-focused vision accelerated dramatically as remote learning necessity created urgent implementation imperative (eSchool News, 2024). The superintendent directed the technology department to equip every student and teacher with Chromebooks and provide Google Suite training within two weeks, which was an extraordinarily ambitious timeline requiring intensive coordination, resource reallocation, and stakeholder cooperation. This rapid transformation succeeded not merely through technological infrastructure provision but through shared vision development emphasizing equity and access, distributed leadership empowering technology staff and teacher leaders to solve implementation challenges, and sustained professional support continuing beyond initial deployment. The example illustrates how crisis can catalyze transformation while simultaneously demonstrating that successful implementation requires comprehensive leadership attention to vision, capacity, support, and relationship-building rather than simplistic technology distribution. Agile organizational models from business contexts offer relevant frameworks emphasizing iterative development through rapid prototyping and testing, continuous feedback from implementation experiences informing adjustments, and adaptive planning responding to emerging evidence rather than rigid multi-year implementation timelines assuming predictable conditions (Prisecaru, 2017). Educational adaptation of agile principles enables schools to experiment with pedagogical innovations on limited scale, assess effectiveness through meaningful metrics beyond standardized test scores, and adjust approaches based on evidence while maintaining coherent strategic direction guiding overall transformation efforts.
</w:t>
      </w:r>
    </w:p>
    <w:p>
      <w:pPr>
        <w:pStyle w:val="Heading2"/>
        <w:pStyle w:val="heading2"/>
        <w:spacing w:line="480" w:before="240" w:after="120"/>
      </w:pPr>
      <w:r>
        <w:t xml:space="preserve">Second-Order Change Initiatives</w:t>
      </w:r>
    </w:p>
    <w:p>
      <w:pPr>
        <w:spacing w:line="480"/>
        <w:ind w:firstLine="720"/>
      </w:pPr>
      <w:r>
        <w:rPr>
          <w:rFonts w:ascii="Times New Roman" w:cs="Times New Roman" w:eastAsia="Times New Roman" w:hAnsi="Times New Roman"/>
          <w:sz w:val="24"/>
          <w:szCs w:val="24"/>
        </w:rPr>
        <w:t xml:space="preserve">Educational change literature distinguishes between first-order changes representing incremental improvements within existing frameworks and assumptions versus second-order changes requiring fundamental transformation of underlying assumptions, structures, and organizational cultures. First-order changes include adopting new textbooks while maintaining traditional instruction, implementing new assessment tools measuring the same competencies, or restructuring schedules without changing pedagogical approaches. These are modifications that avoid confronting fundamental assumptions about teaching and learning. Fourth Industrial Revolution educational alignment requires second-order change involving shifts from industrial to post-industrial educational models emphasizing creativity over compliance, from instructivist to constructivist pedagogies positioning students as knowledge constructors rather than passive recipients, from standardized to personalized learning responsive to individual needs and interests, from teacher-centered to student-centered approaches empowering learner agency, and from compliance-oriented to innovation-oriented organizational cultures valuing experimentation over rule-following (Fullan, 2016). These transformations fundamentally challenge existing organizational assumptions, threatening stakeholders invested in traditional systems including teachers comfortable with familiar approaches, parents who experienced traditional schooling and assume similar education benefits their children, and policymakers accountable for maintaining stability and avoiding controversy. Second-order changes therefore generate substantially greater resistance than incremental improvements, requiring sophisticated change leadership navigating both technical challenges and adaptive challenges involving belief shifts and relationship changes.
</w:t>
      </w:r>
    </w:p>
    <w:p>
      <w:pPr>
        <w:spacing w:line="480"/>
        <w:ind w:firstLine="720"/>
      </w:pPr>
      <w:r>
        <w:rPr>
          <w:rFonts w:ascii="Times New Roman" w:cs="Times New Roman" w:eastAsia="Times New Roman" w:hAnsi="Times New Roman"/>
          <w:sz w:val="24"/>
          <w:szCs w:val="24"/>
        </w:rPr>
        <w:t xml:space="preserve">A 2024 review examining AI's role in transforming school leadership emphasizes that effective digital transformation requires addressing not only technical infrastructure including devices, connectivity, software, and technical support, but also organizational culture shifts toward innovation and experimentation, leadership practice evolution incorporating digital literacy and adaptive thinking, and ethical implications regarding data privacy, algorithmic bias, and equitable access (Hallinger &amp; Chatpinyakoop, 2024). Superintendents leading second-order transformation must simultaneously address technical challenges including curriculum development aligning with new pedagogical approaches, technology infrastructure supporting digital learning experiences, and assessment redesign measuring competencies rather than content memorization alongside adaptive challenges including shifting educator beliefs about student capacity and learning processes, changing instructional practices requiring different facilitation skills and comfort with uncertainty, and confronting historical inequities embedded in tracking systems and resource allocation patterns. Technical challenges yield to expertise and resources; adaptive challenges require sustained engagement, relationship-building, and willingness to examine uncomfortable truths about institutional practices perpetuating inequity. Superintendents underestimating adaptive challenge complexity or attempting purely technical solutions to adaptive problems predictably fail as surface-level changes leave underlying assumptions and power dynamics intact.
</w:t>
      </w:r>
    </w:p>
    <w:p>
      <w:pPr>
        <w:spacing w:line="480"/>
        <w:ind w:firstLine="720"/>
      </w:pPr>
      <w:r>
        <w:rPr>
          <w:rFonts w:ascii="Times New Roman" w:cs="Times New Roman" w:eastAsia="Times New Roman" w:hAnsi="Times New Roman"/>
          <w:sz w:val="24"/>
          <w:szCs w:val="24"/>
        </w:rPr>
        <w:t xml:space="preserve">Research demonstrates successful second-order initiatives share several critical characteristics distinguishing them from failed transformation attempts. Strong superintendent leadership articulating clear, compelling vision connecting transformation to improved student outcomes and community aspirations provides essential direction while building stakeholder commitment. Sustained investment in professional capacity building through ongoing learning opportunities, collaborative structures, expert coaching, and protected time enables educators to develop new competencies rather than expecting instant expertise. Community engagement processes ensuring stakeholder buy-in through authentic participation, transparent communication, and genuine influence over implementation decisions build political support and social capital necessary for sustaining effort through inevitable challenges. Phased implementation allowing learning from early adopters creates proof-of-concept examples demonstrating feasibility while identifying implementation barriers requiring attention before broader scaling. Persistence through inevitable setbacks as new practices develop treats implementation challenges as learning opportunities rather than failure indicators, maintaining commitment while adjusting strategies based on emerging evidence (Kotter, 2012). Superintendents successfully leading second-order transformation demonstrate sustained commitment measured in years rather than months, sophisticated understanding of both technical and adaptive dimensions, and political courage to maintain direction despite resistance from stakeholders threatened by fundamental change.
</w:t>
      </w:r>
    </w:p>
    <w:p>
      <w:pPr>
        <w:pStyle w:val="Heading2"/>
        <w:pStyle w:val="heading2"/>
        <w:spacing w:line="480" w:before="240" w:after="120"/>
      </w:pPr>
      <w:r>
        <w:t xml:space="preserve">Challenges for Tech-Savvy Superintendents</w:t>
      </w:r>
    </w:p>
    <w:p>
      <w:pPr>
        <w:spacing w:line="480"/>
        <w:ind w:firstLine="720"/>
      </w:pPr>
      <w:r>
        <w:rPr>
          <w:rFonts w:ascii="Times New Roman" w:cs="Times New Roman" w:eastAsia="Times New Roman" w:hAnsi="Times New Roman"/>
          <w:sz w:val="24"/>
          <w:szCs w:val="24"/>
        </w:rPr>
        <w:t xml:space="preserve">Superintendents leading technological transformation face specialized challenges requiring knowledge about digital innovation's educational implications. Rapid technology evolution (3-5 year obsolescence) requires continuous investment in equipment, software, and professional learning (Fullan et al., 2018). Resource constraints force difficult allocation decisions between technology, facilities, special education, compensation, and programming. Teachers show variable technology comfort and readiness requiring differentiated professional development. Parents hold diverse technology expectations creating political pressures superintendents must navigate. Accountability systems incentivizing standardized tests risk punishing transformative pedagogies through score declines during transition periods.
</w:t>
      </w:r>
    </w:p>
    <w:p>
      <w:pPr>
        <w:spacing w:line="480"/>
        <w:ind w:firstLine="720"/>
      </w:pPr>
      <w:r>
        <w:rPr>
          <w:rFonts w:ascii="Times New Roman" w:cs="Times New Roman" w:eastAsia="Times New Roman" w:hAnsi="Times New Roman"/>
          <w:sz w:val="24"/>
          <w:szCs w:val="24"/>
        </w:rPr>
        <w:t xml:space="preserve">Post-pandemic recovery efforts show modest success with nearly 50% of superintendents reporting decreased below-grade-level performance (District Administration, 2024). However, staffing shortages, mental health crises, and resource constraints limit capacity for transformation while requiring balance between immediate recovery and long-term Fourth Industrial Revolution preparation. Resource constraints particularly impact low-income districts, creating equity challenges where under-resourced schools lack capacity while affluent districts proceed with ambitious initiatives.
</w:t>
      </w:r>
    </w:p>
    <w:p>
      <w:pPr>
        <w:spacing w:line="480"/>
        <w:ind w:firstLine="720"/>
      </w:pPr>
      <w:r>
        <w:rPr>
          <w:rFonts w:ascii="Times New Roman" w:cs="Times New Roman" w:eastAsia="Times New Roman" w:hAnsi="Times New Roman"/>
          <w:sz w:val="24"/>
          <w:szCs w:val="24"/>
        </w:rPr>
        <w:t xml:space="preserve">Equity concerns require constant attention to ensure technology integration reduces rather than exacerbates disparities. Technology risks magnifying existing inequities if marginalized students receive inferior devices, inadequate support, or skill-and-drill applications while privileged students access creative tools and constructivist instruction (Center for American Progress, 2024; Toyama, 2010). Successful superintendents address this through diverse stakeholder engagement connecting transformation to equity goals, sustainable funding through budget reallocation and grants, differentiated professional development, transparent community communication, and accountability systems tracking implementation quality and equitable outcomes beyond device distribution.
</w:t>
      </w:r>
    </w:p>
    <w:p>
      <w:pPr>
        <w:pStyle w:val="Heading1"/>
        <w:pStyle w:val="heading1"/>
        <w:spacing w:line="480" w:before="240" w:after="120"/>
      </w:pPr>
      <w:r>
        <w:t xml:space="preserve">IMPLICATIONS FOR PRACTICE AND FUTURE RESEARCH</w:t>
      </w:r>
    </w:p>
    <w:p>
      <w:pPr>
        <w:pStyle w:val="Heading2"/>
        <w:pStyle w:val="heading2"/>
        <w:spacing w:line="480" w:before="240" w:after="120"/>
      </w:pPr>
      <w:r>
        <w:t xml:space="preserve">Research Synthesis and Key Findings</w:t>
      </w:r>
    </w:p>
    <w:p>
      <w:pPr>
        <w:spacing w:line="480"/>
        <w:ind w:firstLine="720"/>
      </w:pPr>
      <w:r>
        <w:rPr>
          <w:rFonts w:ascii="Times New Roman" w:cs="Times New Roman" w:eastAsia="Times New Roman" w:hAnsi="Times New Roman"/>
          <w:sz w:val="24"/>
          <w:szCs w:val="24"/>
        </w:rPr>
        <w:t xml:space="preserve">This literature review synthesizes extensive scholarship examining Fourth Industrial Revolution implications for educational leadership, revealing several conclusions with substantial research support and significant practice implications. First, Fourth Industrial Revolution workforce demands fundamentally differ from industrial-era requirements, emphasizing creativity enabling novel solution generation, collaboration supporting distributed teamwork, critical thinking allowing evidence-based decision-making, complex problem-solving integrating multiple knowledge domains, and adaptive learning facilitating continuous skill development rather than rote memorization, procedural compliance, and standardized task completion characterizing factory-model work. The World Economic Forum's Education 4.0 framework identifies eight essential transformations including global citizenship skills, innovation and creativity capabilities, technology proficiencies, interpersonal competencies, personalized learning, accessible education, problem-based pedagogy, and lifelong learning orientation, while recent higher education research confirms that successful Fourth Industrial Revolution preparation requires developing competencies beyond technical skills including socioemotional capabilities, ethical reasoning, and adaptive capacity (Kumar, 2025; World Economic Forum, 2024). Educational systems maintaining industrial-era structures emphasizing content coverage, standardized testing, and teacher-centered instruction inadequately prepare students for contemporary and future work while perpetuating inequities that channel marginalized students toward automation-vulnerable positions.
</w:t>
      </w:r>
    </w:p>
    <w:p>
      <w:pPr>
        <w:spacing w:line="480"/>
        <w:ind w:firstLine="720"/>
      </w:pPr>
      <w:r>
        <w:rPr>
          <w:rFonts w:ascii="Times New Roman" w:cs="Times New Roman" w:eastAsia="Times New Roman" w:hAnsi="Times New Roman"/>
          <w:sz w:val="24"/>
          <w:szCs w:val="24"/>
        </w:rPr>
        <w:t xml:space="preserve">Second, the 2024 National Educational Technology Plan's reconceptualization of digital divides identifying access, use, and design dimensions demonstrates that technology provision alone proves insufficient for equity advancement, requiring comprehensive intervention addressing all three inequality levels simultaneously. The digital access divide concerns equitable technology access including devices, connectivity, content, and support; the digital use divide addresses differential opportunities to use technology for skill development versus passive consumption; and the digital design divide examines educators' capacity to design technology-enhanced learning emphasizing higher-order thinking (U.S. Department of Education, 2024). These three inequality levels compound to create systemic disadvantage, as students lacking quality device access cannot develop sophisticated digital skills while students whose teachers lack professional development receive technology-mediated instruction failing to advance learning beyond traditional approaches. Effective equity initiatives therefore require simultaneous attention to infrastructure provision, ongoing technical support, instructional transformation through professional development, and outcome assessment measuring authentic competency development rather than superficial technology use. Digital equity necessitates three essential pillars of availability ensuring technology access, affordability enabling sustained use, and adoption supporting effective pedagogical integration (Digital Promise, 2024).
</w:t>
      </w:r>
    </w:p>
    <w:p>
      <w:pPr>
        <w:spacing w:line="480"/>
        <w:ind w:firstLine="720"/>
      </w:pPr>
      <w:r>
        <w:rPr>
          <w:rFonts w:ascii="Times New Roman" w:cs="Times New Roman" w:eastAsia="Times New Roman" w:hAnsi="Times New Roman"/>
          <w:sz w:val="24"/>
          <w:szCs w:val="24"/>
        </w:rPr>
        <w:t xml:space="preserve">Third, global educational systems demonstrate varied responses to Fourth Industrial Revolution demands, with successful nations emphasizing inquiry-based pedagogies fostering student investigation, reduced high-stakes testing minimizing narrow achievement metrics, competency-based progression allowing mastery demonstration, and explicit equity focus ensuring marginalized students receive enriched instruction, while systems maintaining industrial models show growing misalignment with labor market demands valuing creativity and adaptability. Recent research on inquiry-based learning demonstrates substantial effect sizes of 1.27 for critical thinking development and confirmed benefits for 21st century skills including collaboration, communication, creativity, and complex problem-solving when implemented with adequate teacher preparation and supportive environments (Afrin et al., 2025; Maknun &amp; Rukmini, 2024). However, IBL shows neutral or negative effects on standardized test performance, illustrating measurement challenges where traditional assessments fail to capture competencies that inquiry-based instruction successfully develops. International comparisons reveal that nations successfully transitioning to Education 4.0 models invest substantially in teacher professional development, provide curriculum flexibility enabling authentic problem-solving, implement portfolio-based assessment, and maintain explicit equity commitments through targeted resource allocation. These are policy approaches contrasting sharply with U.S. emphasis on standardization and high-stakes testing.
</w:t>
      </w:r>
    </w:p>
    <w:p>
      <w:pPr>
        <w:spacing w:line="480"/>
        <w:ind w:firstLine="720"/>
      </w:pPr>
      <w:r>
        <w:rPr>
          <w:rFonts w:ascii="Times New Roman" w:cs="Times New Roman" w:eastAsia="Times New Roman" w:hAnsi="Times New Roman"/>
          <w:sz w:val="24"/>
          <w:szCs w:val="24"/>
        </w:rPr>
        <w:t xml:space="preserve">Fourth, generative AI adoption presents both significant opportunities and serious challenges requiring thoughtful superintendent navigation rather than uncritical enthusiasm or blanket prohibition. Research shows 83% of K-12 teachers currently use AI tools for personal or school-related activities, yet 25% express concerns about potential harm including academic integrity erosion, output quality variability, bias amplification, and pedagogical appropriateness (Pew Research Center, 2024; Zhang et al., 2024). Systematic reviews examining ChatGPT and other generative AI applications in K-12 contexts reveal that effectiveness depends entirely on pedagogical integration quality, with thoughtful implementation supporting personalized learning, differentiation, and instructional efficiency while superficial substitution of AI for human thinking potentially decreasing student engagement, self-efficacy, and authentic learning (Frontiers in Education, 2025; Zhang et al., 2024). Effective AI integration requires comprehensive professional development helping teachers understand capabilities and limitations, design learning activities leveraging AI for intellectual development rather than dependency, and maintain focus on developing student capacities that AI cannot replicate including ethical reasoning, creative innovation, emotional intelligence, and collaborative problem-solving. These competencies are essential for Fourth Industrial Revolution workforce participation and democratic citizenship.
</w:t>
      </w:r>
    </w:p>
    <w:p>
      <w:pPr>
        <w:spacing w:line="480"/>
        <w:ind w:firstLine="720"/>
      </w:pPr>
      <w:r>
        <w:rPr>
          <w:rFonts w:ascii="Times New Roman" w:cs="Times New Roman" w:eastAsia="Times New Roman" w:hAnsi="Times New Roman"/>
          <w:sz w:val="24"/>
          <w:szCs w:val="24"/>
        </w:rPr>
        <w:t xml:space="preserve">Fifth, historical racialization of technology and education creates persistent inequities embedded in contemporary structures through tracking systems, resource allocation patterns, differential expectations, and pedagogical approaches that sort students by race and class rather than providing equitable opportunities for all learners. Critical race theory analysis reveals how Western narratives systematically erased African technological contributions while exploiting African innovation during slavery and colonization, establishing patterns where technological advancement is attributed to dominant groups while marginalized communities' contributions remain unacknowledged. Educational factorization during late 19th and early 20th centuries intentionally aligned school systems with factory models while simultaneously serving eugenic purposes through intelligence testing, tracking, and differential curricula that explicitly assigned students to predetermined social roles based on race and class (Kliebard, 2004). These historical patterns persist in contemporary differential implementation where affluent schools adopt inquiry-based pedagogies while schools serving marginalized populations maintain compliance-focused instruction. These are dynamics requiring critical examination and intentional disruption rather than assumptions about technology neutrality or merit-based sorting. Superintendents must therefore address technology integration within comprehensive equity frameworks that explicitly confront historical inequities and current disparities rather than assuming that innovation automatically benefits all students equally.
</w:t>
      </w:r>
    </w:p>
    <w:p>
      <w:pPr>
        <w:spacing w:line="480"/>
        <w:ind w:firstLine="720"/>
      </w:pPr>
      <w:r>
        <w:rPr>
          <w:rFonts w:ascii="Times New Roman" w:cs="Times New Roman" w:eastAsia="Times New Roman" w:hAnsi="Times New Roman"/>
          <w:sz w:val="24"/>
          <w:szCs w:val="24"/>
        </w:rPr>
        <w:t xml:space="preserve">Sixth, superintendent leadership proves critical for successful transformation, requiring vision development articulating compelling connections between technological change and improved student outcomes, stakeholder engagement building broad coalitions supporting transformation, sustained capacity building through ongoing professional development, explicit equity focus ensuring marginalized students benefit, and persistence through second-order change challenges involving fundamental assumption shifts and organizational restructuring. Post-pandemic research confirms that technology-savvy superintendents succeed by fostering digital literacy throughout organizations, cultivating organizational culture change valuing innovation and experimentation, encouraging calculated risk-taking where failures provide learning opportunities, and implementing distributed leadership empowering educators at all levels to exercise professional judgment (Asenahabi &amp; Zewdie, 2024; K-12 Dive, 2024). Effective technology leadership reflects good leadership more broadly, requiring relationship-building, clear communication, resource mobilization, and sustained commitment rather than constituting entirely separate skillset, though specialized knowledge about digital tools' pedagogical applications and equity implications proves essential for guiding implementation decisions and providing credible direction.
</w:t>
      </w:r>
    </w:p>
    <w:p>
      <w:pPr>
        <w:pStyle w:val="Heading2"/>
        <w:pStyle w:val="heading2"/>
        <w:spacing w:line="480" w:before="240" w:after="120"/>
      </w:pPr>
      <w:r>
        <w:t xml:space="preserve">Recommendations for Educational Leaders</w:t>
      </w:r>
    </w:p>
    <w:p>
      <w:pPr>
        <w:spacing w:line="480"/>
        <w:ind w:firstLine="720"/>
      </w:pPr>
      <w:r>
        <w:rPr>
          <w:rFonts w:ascii="Times New Roman" w:cs="Times New Roman" w:eastAsia="Times New Roman" w:hAnsi="Times New Roman"/>
          <w:sz w:val="24"/>
          <w:szCs w:val="24"/>
        </w:rPr>
        <w:t xml:space="preserve">Effective superintendent leadership requires addressing three interconnected priorities: First, develop comprehensive vision addressing all three digital divide levels (access, use, design) through collaborative stakeholder engagement, sustainable funding, and professional development emphasizing pedagogical transformation over mere technology acquisition (Digital Promise, 2024; Maknun &amp; Rukmini, 2024). Second, prioritize constructivist pedagogies, particularly inquiry-based learning (1.27 effect size for critical thinking), through sustained job-embedded professional development including collaborative planning, expert coaching, and ongoing learning rather than one-day workshops (Fullan et al., 2018). Third, navigate AI integration and accountability reform thoughtfully by implementing policies emphasizing AI enhancement rather than replacement, developing alternative assessments measuring future-oriented competencies through portfolios and demonstrations, and confronting historical inequities through culturally responsive practices and disaggregated outcome monitoring (Frontiers in Education, 2025; U.S. Department of Education, 2024). Fourth, embrace agile implementation allowing rapid prototyping, continuous feedback, and adaptive planning while treating failures as learning opportunities and maintaining psychological safety (Prisecaru, 2017). Finally, cultivate distributed leadership, digital literacy throughout organizations, and comprehensive digital citizenship education addressing cybersecurity, digital health, and information literacy (Asenahabi &amp; Zewdie, 2024; U.S. Department of Education, 2024).
</w:t>
      </w:r>
    </w:p>
    <w:p>
      <w:pPr>
        <w:pStyle w:val="Heading2"/>
        <w:pStyle w:val="heading2"/>
        <w:spacing w:line="480" w:before="240" w:after="120"/>
      </w:pPr>
      <w:r>
        <w:t xml:space="preserve">Areas for Future Research</w:t>
      </w:r>
    </w:p>
    <w:p>
      <w:pPr>
        <w:spacing w:line="480"/>
        <w:ind w:firstLine="720"/>
      </w:pPr>
      <w:r>
        <w:rPr>
          <w:rFonts w:ascii="Times New Roman" w:cs="Times New Roman" w:eastAsia="Times New Roman" w:hAnsi="Times New Roman"/>
          <w:sz w:val="24"/>
          <w:szCs w:val="24"/>
        </w:rPr>
        <w:t xml:space="preserve">Future research should prioritize implementation studies using longitudinal designs examining transformation strategies, barriers, and sustainability factors while including district case studies illustrating framework application within real constraints. Assessment development research creating valid instruments measuring Fourth Industrial Revolution competencies (creativity, collaboration, complex problem-solving, ethical reasoning) would enable authentic outcome evaluation beyond standardized testing (Maknun &amp; Rukmini, 2024). Generative AI impact studies examining effects on learning processes, critical thinking, academic integrity, and authentic achievement across diverse populations would identify effective pedagogical frameworks while maintaining focus on uniquely human competencies (Stanford Generative AI for Education Hub, 2025). Equity impact analysis examining whether transformation initiatives reduce or exacerbate disparities would inform equity-centered strategies through disaggregated data analysis across racial, economic, linguistic, and disability dimensions (U.S. Department of Education, 2024). Professional development effectiveness research comparing capacity-building approaches would identify optimal duration, intensity, support structures, and effects on teacher retention given urgent staffing challenges (District Administration, 2024). Community engagement process research examining how leaders balance competing perspectives while building political coalitions would inform change management strategies across varied demographic and political contexts (Kumar, 2025). International comparative studies examining successful Education 4.0 implementations across nations would expand implementation models while acknowledging adaptation requirements for different governance and resource contexts.
</w:t>
      </w:r>
    </w:p>
    <w:p>
      <w:pPr>
        <w:pStyle w:val="Heading1"/>
        <w:pStyle w:val="heading1"/>
        <w:spacing w:line="480" w:before="240" w:after="120"/>
      </w:pPr>
      <w:r>
        <w:t xml:space="preserve">CONCLUSION</w:t>
      </w:r>
    </w:p>
    <w:p>
      <w:pPr>
        <w:spacing w:line="480"/>
        <w:ind w:firstLine="720"/>
      </w:pPr>
      <w:r>
        <w:rPr>
          <w:rFonts w:ascii="Times New Roman" w:cs="Times New Roman" w:eastAsia="Times New Roman" w:hAnsi="Times New Roman"/>
          <w:sz w:val="24"/>
          <w:szCs w:val="24"/>
        </w:rPr>
        <w:t xml:space="preserve">The Fourth Industrial Revolution requires educational systems to move beyond industrial-era models emphasizing compliance and standardization toward comprehensive transformation developing creativity, collaboration, critical thinking, and adaptive learning. Superintendent leadership proves critical for navigating technological integration, pedagogical innovation, stakeholder engagement, and equity advancement simultaneously. Research confirms transformation urgency: Education 4.0 frameworks identify eight essential transformations (World Economic Forum, 2024); inquiry-based learning demonstrates 1.27 effect size for critical thinking development (Maknun &amp; Rukmini, 2024); comprehensive digital equity must address access, use, and design divides simultaneously (U.S. Department of Education, 2024).
</w:t>
      </w:r>
    </w:p>
    <w:p>
      <w:pPr>
        <w:spacing w:line="480"/>
        <w:ind w:firstLine="720"/>
      </w:pPr>
      <w:r>
        <w:rPr>
          <w:rFonts w:ascii="Times New Roman" w:cs="Times New Roman" w:eastAsia="Times New Roman" w:hAnsi="Times New Roman"/>
          <w:sz w:val="24"/>
          <w:szCs w:val="24"/>
        </w:rPr>
        <w:t xml:space="preserve">Successful superintendents lead second-order organizational changes transforming assumptions about student capability, appropriate pedagogy, and equitable practice through: developing compelling shared vision engaging diverse stakeholders; providing sustained job-embedded professional development emphasizing constructivist pedagogies; confronting historical inequities through targeted resource allocation and culturally responsive practices; implementing alternative accountability measuring future-oriented competencies; and embracing agile implementation allowing rapid prototyping and adaptive planning (Asenahabi &amp; Zewdie, 2024; K-12 Dive, 2024; Prisecaru, 2017).
</w:t>
      </w:r>
    </w:p>
    <w:p>
      <w:pPr>
        <w:spacing w:line="480"/>
        <w:ind w:firstLine="720"/>
      </w:pPr>
      <w:r>
        <w:rPr>
          <w:rFonts w:ascii="Times New Roman" w:cs="Times New Roman" w:eastAsia="Times New Roman" w:hAnsi="Times New Roman"/>
          <w:sz w:val="24"/>
          <w:szCs w:val="24"/>
        </w:rPr>
        <w:t xml:space="preserve">However, transformation risks perpetuating inequities unless explicitly centering equity throughout all decisions. Technology proves neutral, as it magnifies human intent rather than inherently reducing inequality. Therefore, superintendents must ensure marginalized students access enriched technology experiences emphasizing creative production and higher-order thinking while addressing resource inequities and differential implementation patterns that create opportunity gaps (U.S. Department of Education, 2024).
</w:t>
      </w:r>
    </w:p>
    <w:p>
      <w:pPr>
        <w:spacing w:line="480"/>
        <w:ind w:firstLine="720"/>
      </w:pPr>
      <w:r>
        <w:rPr>
          <w:rFonts w:ascii="Times New Roman" w:cs="Times New Roman" w:eastAsia="Times New Roman" w:hAnsi="Times New Roman"/>
          <w:sz w:val="24"/>
          <w:szCs w:val="24"/>
        </w:rPr>
        <w:t xml:space="preserve">Generative AI adoption requires thoughtful navigation emphasizing AI as enhancement rather than replacement for critical thinking and authentic problem-solving. While 83% of K-12 teachers now use AI tools, effectiveness depends entirely on pedagogical integration quality, with proper implementation supporting learning while superficial substitution may harm engagement and achievement (Pew Research Center, 2024; Zhang et al., 2024).
</w:t>
      </w:r>
    </w:p>
    <w:p>
      <w:pPr>
        <w:spacing w:line="480"/>
        <w:ind w:firstLine="720"/>
      </w:pPr>
      <w:r>
        <w:rPr>
          <w:rFonts w:ascii="Times New Roman" w:cs="Times New Roman" w:eastAsia="Times New Roman" w:hAnsi="Times New Roman"/>
          <w:sz w:val="24"/>
          <w:szCs w:val="24"/>
        </w:rPr>
        <w:t xml:space="preserve">The path forward demands superintendent leadership developing vision, building stakeholder coalitions, developing educator capacity, maintaining focus on equity, and persisting through inevitable resistance. This transformation serves not only economic competitiveness but educational justice by ensuring historically marginalized communities access transformative rather than subordinating experiences while cultivating democratic engagement and developing human capabilities that define civilization's highest aspirations.
</w:t>
      </w:r>
    </w:p>
    <w:p/>
    <w:p>
      <w:pPr>
        <w:pStyle w:val="Heading1"/>
        <w:pStyle w:val="heading1"/>
        <w:spacing w:line="480" w:before="240" w:after="240"/>
        <w:jc w:val="center"/>
      </w:pPr>
      <w:r>
        <w:t xml:space="preserve">REFERENCES</w:t>
      </w:r>
    </w:p>
    <w:p>
      <w:pPr>
        <w:pStyle w:val="reference"/>
        <w:spacing w:line="480"/>
        <w:ind w:hanging="720"/>
      </w:pPr>
      <w:r>
        <w:t xml:space="preserve">ACT. (2024). Digital divide still holds students back despite improving access to technology. ACT Newsroom &amp; Blog. https://leadershipblog.act.org/2024/07/digital-divide-research.html</w:t>
      </w:r>
    </w:p>
    <w:p>
      <w:pPr>
        <w:pStyle w:val="reference"/>
        <w:spacing w:line="480"/>
        <w:ind w:hanging="720"/>
      </w:pPr>
      <w:r>
        <w:t xml:space="preserve">Afrin, S., Gupta, T., &amp; Alam, G. M. (2025). Inquiry-based learning in Bangladesh: Insights into middle and high school students' experiences and 21st century skill development. Disciplinary and Interdisciplinary Science Education Research, 7, Article 3. https://doi.org/10.1186/s43031-025-00122-2</w:t>
      </w:r>
    </w:p>
    <w:p>
      <w:pPr>
        <w:pStyle w:val="reference"/>
        <w:spacing w:line="480"/>
        <w:ind w:hanging="720"/>
      </w:pPr>
      <w:r>
        <w:t xml:space="preserve">Asenahabi, B. M., &amp; Zewdie, S. (2024). Digital leadership in the fourth industrial revolution enacted during the COVID-19 pandemic: A systematic review. Cogent Education, 11(1), Article 2317258. https://doi.org/10.1080/2331186X.2024.2317258</w:t>
      </w:r>
    </w:p>
    <w:p>
      <w:pPr>
        <w:pStyle w:val="reference"/>
        <w:spacing w:line="480"/>
        <w:ind w:hanging="720"/>
      </w:pPr>
      <w:r>
        <w:t xml:space="preserve">Atanasoski, N., &amp; Vora, K. (2019). Surrogate humanity: Race, robots, and the politics of technological futures. Duke University Press.</w:t>
      </w:r>
    </w:p>
    <w:p>
      <w:pPr>
        <w:pStyle w:val="reference"/>
        <w:spacing w:line="480"/>
        <w:ind w:hanging="720"/>
      </w:pPr>
      <w:r>
        <w:t xml:space="preserve">Belew, S. (2018). The brilliant report card: Understanding student achievement beyond grades and test scores. Rowman &amp; Littlefield.</w:t>
      </w:r>
    </w:p>
    <w:p>
      <w:pPr>
        <w:pStyle w:val="reference"/>
        <w:spacing w:line="480"/>
        <w:ind w:hanging="720"/>
      </w:pPr>
      <w:r>
        <w:t xml:space="preserve">Bent, S. (1938). Machine made man. Farrar &amp; Rinehart.</w:t>
      </w:r>
    </w:p>
    <w:p>
      <w:pPr>
        <w:pStyle w:val="reference"/>
        <w:spacing w:line="480"/>
        <w:ind w:hanging="720"/>
      </w:pPr>
      <w:r>
        <w:t xml:space="preserve">Bergeron, P. J., &amp; Rivard, L. (2017). How to engage students in a constructivist approach to learning. International Journal of Educational Technology, 4(3), 1-13.</w:t>
      </w:r>
    </w:p>
    <w:p>
      <w:pPr>
        <w:pStyle w:val="reference"/>
        <w:spacing w:line="480"/>
        <w:ind w:hanging="720"/>
      </w:pPr>
      <w:r>
        <w:t xml:space="preserve">Bongomin, O., Gilibrays Ocen, G., Oyondi Nganyi, E., Musinguzi, A., &amp; Omara, T. (2020). Exponential disruptive technologies and the required skills of industry 4.0. Journal of Engineering, 2020, Article 4280156. https://doi.org/10.1155/2020/4280156</w:t>
      </w:r>
    </w:p>
    <w:p>
      <w:pPr>
        <w:pStyle w:val="reference"/>
        <w:spacing w:line="480"/>
        <w:ind w:hanging="720"/>
      </w:pPr>
      <w:r>
        <w:t xml:space="preserve">Bruun, E. P. G., &amp; Duka, A. (2018). Artificial intelligence, jobs and the future of work: Racing with the machines. Basic Income Studies, 13(2), Article 20180018. https://doi.org/10.1515/bis-2018-0018</w:t>
      </w:r>
    </w:p>
    <w:p>
      <w:pPr>
        <w:pStyle w:val="reference"/>
        <w:spacing w:line="480"/>
        <w:ind w:hanging="720"/>
      </w:pPr>
      <w:r>
        <w:t xml:space="preserve">Center for American Progress. (2024). How states and districts can close the digital divide to increase college and career readiness. https://www.americanprogress.org/article/how-states-and-districts-can-close-the-digital-divide-to-increase-college-and-career-readiness/</w:t>
      </w:r>
    </w:p>
    <w:p>
      <w:pPr>
        <w:pStyle w:val="reference"/>
        <w:spacing w:line="480"/>
        <w:ind w:hanging="720"/>
      </w:pPr>
      <w:r>
        <w:t xml:space="preserve">Chace, C. (2016). The economic singularity: Artificial intelligence and the death of capitalism. Three Cs.</w:t>
      </w:r>
    </w:p>
    <w:p>
      <w:pPr>
        <w:pStyle w:val="reference"/>
        <w:spacing w:line="480"/>
        <w:ind w:hanging="720"/>
      </w:pPr>
      <w:r>
        <w:t xml:space="preserve">Chapiro, J. (1982). Technocracy and the American Dream: The technocrat movement, 1900-1941. University of California Press.</w:t>
      </w:r>
    </w:p>
    <w:p>
      <w:pPr>
        <w:pStyle w:val="reference"/>
        <w:spacing w:line="480"/>
        <w:ind w:hanging="720"/>
      </w:pPr>
      <w:r>
        <w:t xml:space="preserve">Cohen, J., &amp; Singh, A. (2020). Global approaches to education assessment: A comparative analysis. International Education Review, 8(2), 145-167.</w:t>
      </w:r>
    </w:p>
    <w:p>
      <w:pPr>
        <w:pStyle w:val="reference"/>
        <w:spacing w:line="480"/>
        <w:ind w:hanging="720"/>
      </w:pPr>
      <w:r>
        <w:t xml:space="preserve">Condliffe, B., Visher, M. G., Bangser, M. R., Drohojowska, S., &amp; Saco, L. (2015). Project-based learning: A literature review. MDRC.</w:t>
      </w:r>
    </w:p>
    <w:p>
      <w:pPr>
        <w:pStyle w:val="reference"/>
        <w:spacing w:line="480"/>
        <w:ind w:hanging="720"/>
      </w:pPr>
      <w:r>
        <w:t xml:space="preserve">Crenshaw, K. W. (1998). Critical race theory: The key writings that formed the movement. The New Press.</w:t>
      </w:r>
    </w:p>
    <w:p>
      <w:pPr>
        <w:pStyle w:val="reference"/>
        <w:spacing w:line="480"/>
        <w:ind w:hanging="720"/>
      </w:pPr>
      <w:r>
        <w:t xml:space="preserve">Darling-Hammond, L. (2015). The flat world and education: How America's commitment to equity will determine our future. Teachers College Press.</w:t>
      </w:r>
    </w:p>
    <w:p>
      <w:pPr>
        <w:pStyle w:val="reference"/>
        <w:spacing w:line="480"/>
        <w:ind w:hanging="720"/>
      </w:pPr>
      <w:r>
        <w:t xml:space="preserve">Digital Promise. (2024). Bridging the digital divide: A path to empowerment for underserved learners. https://digitalpromise.org/2024/10/31/bridging-the-digital-divide-a-path-to-empowerment-for-underserved-learners/</w:t>
      </w:r>
    </w:p>
    <w:p>
      <w:pPr>
        <w:pStyle w:val="reference"/>
        <w:spacing w:line="480"/>
        <w:ind w:hanging="720"/>
      </w:pPr>
      <w:r>
        <w:t xml:space="preserve">Dintersmith, T. (2018). What school could be: Insights and inspiration from teachers across America. Princeton University Press.</w:t>
      </w:r>
    </w:p>
    <w:p>
      <w:pPr>
        <w:pStyle w:val="reference"/>
        <w:spacing w:line="480"/>
        <w:ind w:hanging="720"/>
      </w:pPr>
      <w:r>
        <w:t xml:space="preserve">District Administration. (2024). What superintendents agree is slowing progress post-pandemic. https://districtadministration.com/briefing/what-superintendents-agree-is-the-greatest-barrier-to-progress-in-2024/</w:t>
      </w:r>
    </w:p>
    <w:p>
      <w:pPr>
        <w:pStyle w:val="reference"/>
        <w:spacing w:line="480"/>
        <w:ind w:hanging="720"/>
      </w:pPr>
      <w:r>
        <w:t xml:space="preserve">eSchool News. (2024). How to direct a districtwide tech transformation on a budget. https://www.eschoolnews.com/it-leadership/2024/03/07/direct-a-district-tech-transformation-budget/</w:t>
      </w:r>
    </w:p>
    <w:p>
      <w:pPr>
        <w:pStyle w:val="reference"/>
        <w:spacing w:line="480"/>
        <w:ind w:hanging="720"/>
      </w:pPr>
      <w:r>
        <w:t xml:space="preserve">Fiorelli, G. (2018). What does Industry 4.0 mean for the workforce? In Industry 4.0 and emerging technologies (pp. 67-89). Springer.</w:t>
      </w:r>
    </w:p>
    <w:p>
      <w:pPr>
        <w:pStyle w:val="reference"/>
        <w:spacing w:line="480"/>
        <w:ind w:hanging="720"/>
      </w:pPr>
      <w:r>
        <w:t xml:space="preserve">Freire, P. (2000). Pedagogy of the oppressed (30th anniversary ed.). Continuum.</w:t>
      </w:r>
    </w:p>
    <w:p>
      <w:pPr>
        <w:pStyle w:val="reference"/>
        <w:spacing w:line="480"/>
        <w:ind w:hanging="720"/>
      </w:pPr>
      <w:r>
        <w:t xml:space="preserve">Frontiers in Education. (2025). Generative AI use in K-12 education: A systematic review. Frontiers in Education, 10, Article 1647573. https://www.frontiersin.org/journals/education/articles/10.3389/feduc.2025.1647573/full</w:t>
      </w:r>
    </w:p>
    <w:p>
      <w:pPr>
        <w:pStyle w:val="reference"/>
        <w:spacing w:line="480"/>
        <w:ind w:hanging="720"/>
      </w:pPr>
      <w:r>
        <w:t xml:space="preserve">Frey, C. B., &amp; Osborne, M. A. (2017). The future of employment: How susceptible are jobs to computerization? Technological Forecasting and Social Change, 114, 254-280.</w:t>
      </w:r>
    </w:p>
    <w:p>
      <w:pPr>
        <w:pStyle w:val="reference"/>
        <w:spacing w:line="480"/>
        <w:ind w:hanging="720"/>
      </w:pPr>
      <w:r>
        <w:t xml:space="preserve">Fullan, M. (2011). Change leader: Learning to do what matters most. Jossey-Bass.</w:t>
      </w:r>
    </w:p>
    <w:p>
      <w:pPr>
        <w:pStyle w:val="reference"/>
        <w:spacing w:line="480"/>
        <w:ind w:hanging="720"/>
      </w:pPr>
      <w:r>
        <w:t xml:space="preserve">Fullan, M. (2016). The new meaning of educational change (5th ed.). Teachers College Press.</w:t>
      </w:r>
    </w:p>
    <w:p>
      <w:pPr>
        <w:pStyle w:val="reference"/>
        <w:spacing w:line="480"/>
        <w:ind w:hanging="720"/>
      </w:pPr>
      <w:r>
        <w:t xml:space="preserve">Fullan, M., Quinn, J., &amp; McEachen, J. (2018). Deep learning: Engage the world change the world. Corwin.</w:t>
      </w:r>
    </w:p>
    <w:p>
      <w:pPr>
        <w:pStyle w:val="reference"/>
        <w:spacing w:line="480"/>
        <w:ind w:hanging="720"/>
      </w:pPr>
      <w:r>
        <w:t xml:space="preserve">Hallinger, P., &amp; Chatpinyakoop, C. (2024). Transforming school leadership with artificial intelligence: Applications, implications, and future directions. School Leadership &amp; Management, 44(4), 389-413. https://doi.org/10.1080/15700763.2024.2411295</w:t>
      </w:r>
    </w:p>
    <w:p>
      <w:pPr>
        <w:pStyle w:val="reference"/>
        <w:spacing w:line="480"/>
        <w:ind w:hanging="720"/>
      </w:pPr>
      <w:r>
        <w:t xml:space="preserve">Hattie, J. (2012). Visible learning for teachers: Maximizing impact on learning. Routledge.</w:t>
      </w:r>
    </w:p>
    <w:p>
      <w:pPr>
        <w:pStyle w:val="reference"/>
        <w:spacing w:line="480"/>
        <w:ind w:hanging="720"/>
      </w:pPr>
      <w:r>
        <w:t xml:space="preserve">Heilig, J. V., Khalifa, M., &amp; Tillman, L. C. (2013). High-stakes reforms and urban education. Information Age Publishing.</w:t>
      </w:r>
    </w:p>
    <w:p>
      <w:pPr>
        <w:pStyle w:val="reference"/>
        <w:spacing w:line="480"/>
        <w:ind w:hanging="720"/>
      </w:pPr>
      <w:r>
        <w:t xml:space="preserve">Heilig, J. V., Williams, A., &amp; Jez, S. J. (2014). Inputs and student achievement: An analysis of Latina/o-serving elementary schools. Association of Mexican American Educators Journal, 4(1), 31-41.</w:t>
      </w:r>
    </w:p>
    <w:p>
      <w:pPr>
        <w:pStyle w:val="reference"/>
        <w:spacing w:line="480"/>
        <w:ind w:hanging="720"/>
      </w:pPr>
      <w:r>
        <w:t xml:space="preserve">Joshi, S., &amp; Klein, J. (2018). Preparing students for the Fourth Industrial Revolution. Educational Leadership Review, 12(4), 234-251.</w:t>
      </w:r>
    </w:p>
    <w:p>
      <w:pPr>
        <w:pStyle w:val="reference"/>
        <w:spacing w:line="480"/>
        <w:ind w:hanging="720"/>
      </w:pPr>
      <w:r>
        <w:t xml:space="preserve">K-12 Dive. (2024). 5 insights from top school administrators in 2024. https://www.k12dive.com/news/5-insights-top-school-administrators-2024-lessons-in-leadership/736074/</w:t>
      </w:r>
    </w:p>
    <w:p>
      <w:pPr>
        <w:pStyle w:val="reference"/>
        <w:spacing w:line="480"/>
        <w:ind w:hanging="720"/>
      </w:pPr>
      <w:r>
        <w:t xml:space="preserve">Kingston, S. (2018). Project-based learning and student achievement: What does the research tell us? Evidence for Learning, 3(1), 1-8.</w:t>
      </w:r>
    </w:p>
    <w:p>
      <w:pPr>
        <w:pStyle w:val="reference"/>
        <w:spacing w:line="480"/>
        <w:ind w:hanging="720"/>
      </w:pPr>
      <w:r>
        <w:t xml:space="preserve">Kliebard, H. M. (2004). The struggle for the American curriculum, 1893-1958 (3rd ed.). RoutledgeFalmer.</w:t>
      </w:r>
    </w:p>
    <w:p>
      <w:pPr>
        <w:pStyle w:val="reference"/>
        <w:spacing w:line="480"/>
        <w:ind w:hanging="720"/>
      </w:pPr>
      <w:r>
        <w:t xml:space="preserve">Kotter, J. P. (2012). Leading change. Harvard Business Review Press.</w:t>
      </w:r>
    </w:p>
    <w:p>
      <w:pPr>
        <w:pStyle w:val="reference"/>
        <w:spacing w:line="480"/>
        <w:ind w:hanging="720"/>
      </w:pPr>
      <w:r>
        <w:t xml:space="preserve">Kraft, M. A. (2020). Interpreting effect sizes of education interventions. Educational Researcher, 49(4), 241-253.</w:t>
      </w:r>
    </w:p>
    <w:p>
      <w:pPr>
        <w:pStyle w:val="reference"/>
        <w:spacing w:line="480"/>
        <w:ind w:hanging="720"/>
      </w:pPr>
      <w:r>
        <w:t xml:space="preserve">Kumar, S. (2025). Education 4.0: Transforming learning for the Fourth Industrial Revolution. SAGE Open, 15(1), Article 23476311251326140. https://doi.org/10.1177/23476311251326140</w:t>
      </w:r>
    </w:p>
    <w:p>
      <w:pPr>
        <w:pStyle w:val="reference"/>
        <w:spacing w:line="480"/>
        <w:ind w:hanging="720"/>
      </w:pPr>
      <w:r>
        <w:t xml:space="preserve">Kurzweil, R. (2005). The singularity is near: When humans transcend biology. Viking.</w:t>
      </w:r>
    </w:p>
    <w:p>
      <w:pPr>
        <w:pStyle w:val="reference"/>
        <w:spacing w:line="480"/>
        <w:ind w:hanging="720"/>
      </w:pPr>
      <w:r>
        <w:t xml:space="preserve">LePoire, D. J. (2021). Energy and civilization evolution. In Energy and human development (pp. 45-72). Cambridge University Press.</w:t>
      </w:r>
    </w:p>
    <w:p>
      <w:pPr>
        <w:pStyle w:val="reference"/>
        <w:spacing w:line="480"/>
        <w:ind w:hanging="720"/>
      </w:pPr>
      <w:r>
        <w:t xml:space="preserve">Lynch, B. M. (2018). The failure of educational technology to improve outcomes. Journal of Educational Technology Systems, 46(3), 275-289.</w:t>
      </w:r>
    </w:p>
    <w:p>
      <w:pPr>
        <w:pStyle w:val="reference"/>
        <w:spacing w:line="480"/>
        <w:ind w:hanging="720"/>
      </w:pPr>
      <w:r>
        <w:t xml:space="preserve">Lynch, B. M., &amp; Robbins, L. H. (1979). African archaeology: A critical introduction. Annual Review of Anthropology, 8, 155-182.</w:t>
      </w:r>
    </w:p>
    <w:p>
      <w:pPr>
        <w:pStyle w:val="reference"/>
        <w:spacing w:line="480"/>
        <w:ind w:hanging="720"/>
      </w:pPr>
      <w:r>
        <w:t xml:space="preserve">Maknun, J., &amp; Rukmini, D. (2024). The effect of inquiry-based learning on students' critical thinking skills in science education: A systematic review and meta-analysis. Eurasia Journal of Mathematics, Science and Technology Education, 20(11), Article em2514. https://doi.org/10.29333/ejmste/15988</w:t>
      </w:r>
    </w:p>
    <w:p>
      <w:pPr>
        <w:pStyle w:val="reference"/>
        <w:spacing w:line="480"/>
        <w:ind w:hanging="720"/>
      </w:pPr>
      <w:r>
        <w:t xml:space="preserve">Mehta, J., &amp; Fine, S. (2019). In search of deeper learning: The quest to remake the American high school. Harvard University Press.</w:t>
      </w:r>
    </w:p>
    <w:p>
      <w:pPr>
        <w:pStyle w:val="reference"/>
        <w:spacing w:line="480"/>
        <w:ind w:hanging="720"/>
      </w:pPr>
      <w:r>
        <w:t xml:space="preserve">Metz, C. (2020). Genius makers: The mavericks who brought AI to Google, Facebook, and the world. Dutton.</w:t>
      </w:r>
    </w:p>
    <w:p>
      <w:pPr>
        <w:pStyle w:val="reference"/>
        <w:spacing w:line="480"/>
        <w:ind w:hanging="720"/>
      </w:pPr>
      <w:r>
        <w:t xml:space="preserve">Mumford, L. (1932). Technics and civilization. Harcourt, Brace and Company.</w:t>
      </w:r>
    </w:p>
    <w:p>
      <w:pPr>
        <w:pStyle w:val="reference"/>
        <w:spacing w:line="480"/>
        <w:ind w:hanging="720"/>
      </w:pPr>
      <w:r>
        <w:t xml:space="preserve">Nature Scientific Reports. (2024). Differences that matter: Inquiry-based learning approach to research writing instruction. Scientific Reports, 14, Article 29094. https://doi.org/10.1038/s41598-024-78962-7</w:t>
      </w:r>
    </w:p>
    <w:p>
      <w:pPr>
        <w:pStyle w:val="reference"/>
        <w:spacing w:line="480"/>
        <w:ind w:hanging="720"/>
      </w:pPr>
      <w:r>
        <w:t xml:space="preserve">Noble, D. F. (2011). Forces of production: A social history of industrial automation. Transaction Publishers.</w:t>
      </w:r>
    </w:p>
    <w:p>
      <w:pPr>
        <w:pStyle w:val="reference"/>
        <w:spacing w:line="480"/>
        <w:ind w:hanging="720"/>
      </w:pPr>
      <w:r>
        <w:t xml:space="preserve">OECD. (2018). The future of education and skills: Education 2030. OECD Publishing.</w:t>
      </w:r>
    </w:p>
    <w:p>
      <w:pPr>
        <w:pStyle w:val="reference"/>
        <w:spacing w:line="480"/>
        <w:ind w:hanging="720"/>
      </w:pPr>
      <w:r>
        <w:t xml:space="preserve">Perisic, A. (2018). The Fourth Industrial Revolution and its impact on ethics, social responsibility, and quality. TEM Journal, 7(3), 529-539.</w:t>
      </w:r>
    </w:p>
    <w:p>
      <w:pPr>
        <w:pStyle w:val="reference"/>
        <w:spacing w:line="480"/>
        <w:ind w:hanging="720"/>
      </w:pPr>
      <w:r>
        <w:t xml:space="preserve">Pew Research Center. (2024). 1 in 4 teachers say AI tools like ChatGPT hurt K-12 education more than help. https://www.pewresearch.org/short-reads/2024/05/15/a-quarter-of-u-s-teachers-say-ai-tools-do-more-harm-than-good-in-k-12-education/</w:t>
      </w:r>
    </w:p>
    <w:p>
      <w:pPr>
        <w:pStyle w:val="reference"/>
        <w:spacing w:line="480"/>
        <w:ind w:hanging="720"/>
      </w:pPr>
      <w:r>
        <w:t xml:space="preserve">Prisecaru, P. (2017). Challenges of the Fourth Industrial Revolution. Knowledge Horizons—Economics, 8(1), 57-62.</w:t>
      </w:r>
    </w:p>
    <w:p>
      <w:pPr>
        <w:pStyle w:val="reference"/>
        <w:spacing w:line="480"/>
        <w:ind w:hanging="720"/>
      </w:pPr>
      <w:r>
        <w:t xml:space="preserve">Schwab, K. (2016). The Fourth Industrial Revolution. World Economic Forum.</w:t>
      </w:r>
    </w:p>
    <w:p>
      <w:pPr>
        <w:pStyle w:val="reference"/>
        <w:spacing w:line="480"/>
        <w:ind w:hanging="720"/>
      </w:pPr>
      <w:r>
        <w:t xml:space="preserve">Shute, V. J. (2008). Focus on formative feedback. Review of Educational Research, 78(1), 153-189.</w:t>
      </w:r>
    </w:p>
    <w:p>
      <w:pPr>
        <w:pStyle w:val="reference"/>
        <w:spacing w:line="480"/>
        <w:ind w:hanging="720"/>
      </w:pPr>
      <w:r>
        <w:t xml:space="preserve">Simon, M. (2018). New mind, new body, new life! How to feel like 50 at 80. Advantage Media Group.</w:t>
      </w:r>
    </w:p>
    <w:p>
      <w:pPr>
        <w:pStyle w:val="reference"/>
        <w:spacing w:line="480"/>
        <w:ind w:hanging="720"/>
      </w:pPr>
      <w:r>
        <w:t xml:space="preserve">Simpson, A. (2019). Measuring what matters: Rethinking assessment in the 21st century. Educational Assessment Review, 14(2), 89-112.</w:t>
      </w:r>
    </w:p>
    <w:p>
      <w:pPr>
        <w:pStyle w:val="reference"/>
        <w:spacing w:line="480"/>
        <w:ind w:hanging="720"/>
      </w:pPr>
      <w:r>
        <w:t xml:space="preserve">Stanford Generative AI for Education Hub. (2025). How is ChatGPT impacting schools, really? Stanford researchers aim to find out. Stanford Report. https://news.stanford.edu/stories/2025/07/chatgpt-open-ai-impact-schools-education-learning-data-research</w:t>
      </w:r>
    </w:p>
    <w:p>
      <w:pPr>
        <w:pStyle w:val="reference"/>
        <w:spacing w:line="480"/>
        <w:ind w:hanging="720"/>
      </w:pPr>
      <w:r>
        <w:t xml:space="preserve">Toyama, K. (2010). Can technology end poverty? Boston Review, 3(4), 119-127.</w:t>
      </w:r>
    </w:p>
    <w:p>
      <w:pPr>
        <w:pStyle w:val="reference"/>
        <w:spacing w:line="480"/>
        <w:ind w:hanging="720"/>
      </w:pPr>
      <w:r>
        <w:t xml:space="preserve">U.S. Department of Education. (2024). National Educational Technology Plan. Office of Educational Technology. https://tech.ed.gov/netp/</w:t>
      </w:r>
    </w:p>
    <w:p>
      <w:pPr>
        <w:pStyle w:val="reference"/>
        <w:spacing w:line="480"/>
        <w:ind w:hanging="720"/>
      </w:pPr>
      <w:r>
        <w:t xml:space="preserve">van Deursen, A. J., &amp; van Dijk, J. A. (2015). Toward a multifaceted model of internet access for understanding digital divides: An empirical investigation. The Information Society, 31(5), 379-391.</w:t>
      </w:r>
    </w:p>
    <w:p>
      <w:pPr>
        <w:pStyle w:val="reference"/>
        <w:spacing w:line="480"/>
        <w:ind w:hanging="720"/>
      </w:pPr>
      <w:r>
        <w:t xml:space="preserve">van Deursen, A. J., &amp; van Dijk, J. A. (2019). The first-level digital divide shifts from inequalities in physical access to inequalities in material access. New Media &amp; Society, 21(2), 354-375.</w:t>
      </w:r>
    </w:p>
    <w:p>
      <w:pPr>
        <w:pStyle w:val="reference"/>
        <w:spacing w:line="480"/>
        <w:ind w:hanging="720"/>
      </w:pPr>
      <w:r>
        <w:t xml:space="preserve">van Dijk, J. A. (2019). The digital divide. Polity Press.</w:t>
      </w:r>
    </w:p>
    <w:p>
      <w:pPr>
        <w:pStyle w:val="reference"/>
        <w:spacing w:line="480"/>
        <w:ind w:hanging="720"/>
      </w:pPr>
      <w:r>
        <w:t xml:space="preserve">Van Sertima, I. (1983). Blacks in science: Ancient and modern. Transaction Books.</w:t>
      </w:r>
    </w:p>
    <w:p>
      <w:pPr>
        <w:pStyle w:val="reference"/>
        <w:spacing w:line="480"/>
        <w:ind w:hanging="720"/>
      </w:pPr>
      <w:r>
        <w:t xml:space="preserve">Wagner, T., &amp; Dintersmith, T. (2016). Most likely to succeed: Preparing our kids for the innovation era. Scribner.</w:t>
      </w:r>
    </w:p>
    <w:p>
      <w:pPr>
        <w:pStyle w:val="reference"/>
        <w:spacing w:line="480"/>
        <w:ind w:hanging="720"/>
      </w:pPr>
      <w:r>
        <w:t xml:space="preserve">Wilson, H. J., Daugherty, P. R., &amp; Morini-Bianzino, N. (2017). The jobs that artificial intelligence will create. MIT Sloan Management Review, 58(4), 14-16.</w:t>
      </w:r>
    </w:p>
    <w:p>
      <w:pPr>
        <w:pStyle w:val="reference"/>
        <w:spacing w:line="480"/>
        <w:ind w:hanging="720"/>
      </w:pPr>
      <w:r>
        <w:t xml:space="preserve">World Economic Forum. (2024). The future of learning: AI is revolutionizing education 4.0. https://www.weforum.org/stories/2024/04/future-learning-ai-revolutionizing-education-4-0/</w:t>
      </w:r>
    </w:p>
    <w:p>
      <w:pPr>
        <w:pStyle w:val="reference"/>
        <w:spacing w:line="480"/>
        <w:ind w:hanging="720"/>
      </w:pPr>
      <w:r>
        <w:t xml:space="preserve">Zhang, C., Schießl, J., Plößl, L., Hofmann, F., &amp; Gläser-Zikuda, M. (2024). A systematic review of ChatGPT use in K-12 education. European Journal of Education, 59(4), Article e12599. https://doi.org/10.1111/ejed.12599</w:t>
      </w:r>
    </w:p>
    <w:sectPr>
      <w:headerReference w:type="default" r:id="rId6"/>
      <w:footerReference w:type="default" r:id="rId7"/>
      <w:pgSz w:w="11906" w:h="16838" w:orient="portrait"/>
      <w:pgMar w:top="1440" w:right="1440" w:bottom="1440" w:left="1440" w:header="708" w:footer="708" w:gutter="0"/>
      <w:pgNumType w:start="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Times New Roman" w:cs="Times New Roman" w:eastAsia="Times New Roman" w:hAnsi="Times New Roman"/>
        <w:sz w:val="24"/>
        <w:szCs w:val="24"/>
      </w:rPr>
      <w:t xml:space="preserve">Superintendent Leadership in 4IR Transformation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4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240"/>
      <w:jc w:val="center"/>
    </w:pPr>
    <w:rPr>
      <w:rFonts w:ascii="Times New Roman" w:cs="Times New Roman" w:eastAsia="Times New Roman" w:hAnsi="Times New Roman"/>
      <w:b/>
      <w:bCs/>
      <w:sz w:val="24"/>
      <w:szCs w:val="24"/>
    </w:rPr>
  </w:style>
  <w:style w:type="paragraph" w:styleId="abstract">
    <w:name w:val="Abstract"/>
    <w:basedOn w:val="Normal"/>
    <w:pPr>
      <w:spacing w:line="276"/>
      <w:ind w:left="720" w:right="720"/>
    </w:pPr>
    <w:rPr>
      <w:rFonts w:ascii="Times New Roman" w:cs="Times New Roman" w:eastAsia="Times New Roman" w:hAnsi="Times New Roman"/>
      <w:sz w:val="20"/>
      <w:szCs w:val="20"/>
    </w:rPr>
  </w:style>
  <w:style w:type="paragraph" w:styleId="heading1">
    <w:name w:val="Heading 1"/>
    <w:basedOn w:val="Normal"/>
    <w:pPr>
      <w:spacing w:line="480" w:before="240" w:after="120"/>
      <w:jc w:val="left"/>
    </w:pPr>
    <w:rPr>
      <w:rFonts w:ascii="Times New Roman" w:cs="Times New Roman" w:eastAsia="Times New Roman" w:hAnsi="Times New Roman"/>
      <w:b/>
      <w:bCs/>
      <w:sz w:val="24"/>
      <w:szCs w:val="24"/>
    </w:rPr>
  </w:style>
  <w:style w:type="paragraph" w:styleId="heading2">
    <w:name w:val="Heading 2"/>
    <w:basedOn w:val="Normal"/>
    <w:pPr>
      <w:spacing w:line="480" w:before="240" w:after="120"/>
      <w:ind w:left="720"/>
      <w:jc w:val="left"/>
    </w:pPr>
    <w:rPr>
      <w:rFonts w:ascii="Times New Roman" w:cs="Times New Roman" w:eastAsia="Times New Roman" w:hAnsi="Times New Roman"/>
      <w:b/>
      <w:bCs/>
      <w:sz w:val="24"/>
      <w:szCs w:val="24"/>
    </w:rPr>
  </w:style>
  <w:style w:type="paragraph" w:styleId="heading3">
    <w:name w:val="Heading 3"/>
    <w:basedOn w:val="Normal"/>
    <w:pPr>
      <w:spacing w:line="480" w:before="240" w:after="120"/>
      <w:ind w:left="720"/>
      <w:jc w:val="left"/>
    </w:pPr>
    <w:rPr>
      <w:rFonts w:ascii="Times New Roman" w:cs="Times New Roman" w:eastAsia="Times New Roman" w:hAnsi="Times New Roman"/>
      <w:i/>
      <w:iCs/>
      <w:sz w:val="24"/>
      <w:szCs w:val="24"/>
    </w:rPr>
  </w:style>
  <w:style w:type="paragraph" w:styleId="reference">
    <w:name w:val="Reference"/>
    <w:basedOn w:val="Normal"/>
    <w:pPr>
      <w:spacing w:line="480"/>
      <w:ind w:hanging="720"/>
    </w:pPr>
    <w:rPr>
      <w:rFonts w:ascii="Times New Roman" w:cs="Times New Roman" w:eastAsia="Times New Roman" w:hAnsi="Times New Roman"/>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SUPERINTENDENT LEADERSHIP IN FOURTH INDUSTRIAL REVOLUTION EDUCATIONAL TRANSFORMATION: A LITERATURE REVIEW</dc:title>
  <dc:creator>Marie Martin</dc:creator>
  <cp:lastModifiedBy>Un-named</cp:lastModifiedBy>
  <cp:revision>1</cp:revision>
  <dcterms:created xsi:type="dcterms:W3CDTF">2025-11-19T18:41:59.855Z</dcterms:created>
  <dcterms:modified xsi:type="dcterms:W3CDTF">2025-11-19T18:41:59.862Z</dcterms:modified>
</cp:coreProperties>
</file>

<file path=docProps/custom.xml><?xml version="1.0" encoding="utf-8"?>
<Properties xmlns="http://schemas.openxmlformats.org/officeDocument/2006/custom-properties" xmlns:vt="http://schemas.openxmlformats.org/officeDocument/2006/docPropsVTypes"/>
</file>