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30"/>
        <w:jc w:val="center"/>
      </w:pPr>
      <w:r>
        <w:rPr>
          <w:rFonts w:ascii="Arial" w:cs="Arial" w:eastAsia="Arial" w:hAnsi="Arial"/>
          <w:b/>
          <w:bCs/>
          <w:color w:val="1A3C5E"/>
          <w:sz w:val="30"/>
          <w:szCs w:val="30"/>
        </w:rPr>
        <w:t xml:space="preserve">An Integrated Clinical and Genomic Machine Learning Approach</w:t>
      </w:r>
    </w:p>
    <w:p>
      <w:pPr>
        <w:spacing w:after="20"/>
        <w:jc w:val="center"/>
      </w:pPr>
      <w:r>
        <w:rPr>
          <w:rFonts w:ascii="Arial" w:cs="Arial" w:eastAsia="Arial" w:hAnsi="Arial"/>
          <w:i/>
          <w:iCs/>
          <w:color w:val="2C5F8A"/>
          <w:sz w:val="23"/>
          <w:szCs w:val="23"/>
        </w:rPr>
        <w:t xml:space="preserve">Predicting 5-Year Survival and Time-to-Event in Breast Cancer</w:t>
      </w:r>
    </w:p>
    <w:p>
      <w:pPr>
        <w:spacing w:after="15"/>
        <w:jc w:val="center"/>
      </w:pPr>
      <w:r>
        <w:rPr>
          <w:rFonts w:ascii="Arial" w:cs="Arial" w:eastAsia="Arial" w:hAnsi="Arial"/>
          <w:color w:val="7F8C8D"/>
          <w:sz w:val="19"/>
          <w:szCs w:val="19"/>
        </w:rPr>
        <w:t xml:space="preserve">METABRIC Dataset | 1,904 patients × 693 features</w:t>
      </w:r>
    </w:p>
    <w:p>
      <w:pPr>
        <w:pBdr>
          <w:bottom w:val="single" w:color="1A3C5E" w:sz="4" w:space="1"/>
        </w:pBdr>
        <w:spacing w:after="30"/>
      </w:pPr>
    </w:p>
    <w:p>
      <w:pPr>
        <w:spacing w:after="15"/>
        <w:jc w:val="center"/>
      </w:pPr>
      <w:r>
        <w:rPr>
          <w:rFonts w:ascii="Arial" w:cs="Arial" w:eastAsia="Arial" w:hAnsi="Arial"/>
          <w:color w:val="7F8C8D"/>
          <w:sz w:val="19"/>
          <w:szCs w:val="19"/>
        </w:rPr>
        <w:t xml:space="preserve">Hellenic Open University</w:t>
      </w:r>
    </w:p>
    <w:p>
      <w:pPr>
        <w:spacing w:after="80"/>
        <w:jc w:val="center"/>
      </w:pPr>
      <w:r>
        <w:rPr>
          <w:rFonts w:ascii="Arial" w:cs="Arial" w:eastAsia="Arial" w:hAnsi="Arial"/>
          <w:color w:val="555555"/>
          <w:sz w:val="18"/>
          <w:szCs w:val="18"/>
        </w:rPr>
        <w:t xml:space="preserve">Demiris Stefanos Panagiotis  •  Diamantis Theodosis  •  Lantouri Athanasia  •  Miteloudis Alexandros</w:t>
      </w:r>
    </w:p>
    <w:p>
      <w:pPr>
        <w:pStyle w:val="Heading1"/>
      </w:pPr>
      <w:r>
        <w:rPr>
          <w:rFonts w:ascii="Arial" w:cs="Arial" w:eastAsia="Arial" w:hAnsi="Arial"/>
          <w:b/>
          <w:bCs/>
        </w:rPr>
        <w:t xml:space="preserve">Abstract</w:t>
      </w:r>
    </w:p>
    <w:p>
      <w:pPr>
        <w:spacing w:before="80" w:after="80" w:line="276"/>
        <w:jc w:val="both"/>
      </w:pPr>
      <w:r>
        <w:rPr>
          <w:rFonts w:ascii="Arial" w:cs="Arial" w:eastAsia="Arial" w:hAnsi="Arial"/>
          <w:b w:val="false"/>
          <w:bCs w:val="false"/>
          <w:i w:val="false"/>
          <w:iCs w:val="false"/>
          <w:color w:val="333333"/>
          <w:sz w:val="21"/>
          <w:szCs w:val="21"/>
        </w:rPr>
        <w:t xml:space="preserve">Breast cancer molecular heterogeneity poses significant challenges for prognosis prediction. This study investigates whether integrating genomic data with standard clinical variables improves 5-year survival prediction. Using the METABRIC dataset, we designed a machine learning pipeline with an ablation study comparing four feature configurations: clinical-only (AUC 0.7624), gene expression-only (AUC 0.7168), mutation-only (AUC 0.6589), and fully integrated (AUC 0.7985). The integrated model achieves a +4.7% improvement over the clinical baseline. Time-to-event survival analysis using Cox Proportional Hazards achieves a concordance index of 0.6734. Volcano plot analysis identifies TP53, GATA3, and THSD7A as statistically significant mutations associated with cancer-specific mortality, validating our computational findings against established biology.</w:t>
      </w:r>
    </w:p>
    <w:p>
      <w:pPr>
        <w:pStyle w:val="Heading1"/>
      </w:pPr>
      <w:r>
        <w:rPr>
          <w:rFonts w:ascii="Arial" w:cs="Arial" w:eastAsia="Arial" w:hAnsi="Arial"/>
          <w:b/>
          <w:bCs/>
        </w:rPr>
        <w:t xml:space="preserve">1. Introduction</w:t>
      </w:r>
    </w:p>
    <w:p>
      <w:pPr>
        <w:spacing w:before="80" w:after="80" w:line="276"/>
        <w:jc w:val="both"/>
      </w:pPr>
      <w:r>
        <w:rPr>
          <w:rFonts w:ascii="Arial" w:cs="Arial" w:eastAsia="Arial" w:hAnsi="Arial"/>
          <w:b w:val="false"/>
          <w:bCs w:val="false"/>
          <w:i w:val="false"/>
          <w:iCs w:val="false"/>
          <w:color w:val="333333"/>
          <w:sz w:val="21"/>
          <w:szCs w:val="21"/>
        </w:rPr>
        <w:t xml:space="preserve">Breast cancer accounts for approximately 30% of all new female cancer diagnoses globally. While clinical variables such as tumor size, histologic grade, and lymph node involvement have long served as prognostic indicators, the emergence of molecular profiling has revealed substantial heterogeneity within clinically similar tumors. The PAM50 gene expression test classifies tumors into five intrinsic subtypes, each with distinct survival trajectories (Parker et al., 2009).</w:t>
      </w:r>
    </w:p>
    <w:p>
      <w:pPr>
        <w:spacing w:before="80" w:after="80" w:line="276"/>
        <w:jc w:val="both"/>
      </w:pPr>
      <w:r>
        <w:rPr>
          <w:rFonts w:ascii="Arial" w:cs="Arial" w:eastAsia="Arial" w:hAnsi="Arial"/>
          <w:b w:val="false"/>
          <w:bCs w:val="false"/>
          <w:i w:val="false"/>
          <w:iCs w:val="false"/>
          <w:color w:val="333333"/>
          <w:sz w:val="21"/>
          <w:szCs w:val="21"/>
        </w:rPr>
        <w:t xml:space="preserve">The METABRIC consortium (Curtis et al., 2012) assembled one of the largest publicly available breast cancer cohorts, profiling 1,904 patients across clinical, gene expression, and somatic mutation dimensions. Subsequent work by Pereira et al. (2016) characterized the mutational landscape, while Rueda et al. (2019) identified late-recurring subgroups with elevated risk up to 20 years post-diagnosis.</w:t>
      </w:r>
    </w:p>
    <w:p>
      <w:pPr>
        <w:spacing w:before="80" w:after="80" w:line="276"/>
        <w:jc w:val="both"/>
      </w:pPr>
      <w:r>
        <w:rPr>
          <w:rFonts w:ascii="Arial" w:cs="Arial" w:eastAsia="Arial" w:hAnsi="Arial"/>
          <w:b/>
          <w:bCs/>
          <w:color w:val="333333"/>
          <w:sz w:val="21"/>
          <w:szCs w:val="21"/>
        </w:rPr>
        <w:t xml:space="preserve">Objective. </w:t>
      </w:r>
      <w:r>
        <w:rPr>
          <w:rFonts w:ascii="Arial" w:cs="Arial" w:eastAsia="Arial" w:hAnsi="Arial"/>
          <w:b w:val="false"/>
          <w:bCs w:val="false"/>
          <w:i w:val="false"/>
          <w:iCs w:val="false"/>
          <w:color w:val="333333"/>
          <w:sz w:val="21"/>
          <w:szCs w:val="21"/>
        </w:rPr>
        <w:t xml:space="preserve">This study addresses a focused question: does integrating targeted gene expression and mutation data significantly improve 5-year survival prediction compared to a strictly clinical baseline? We employ a systematic ablation study to quantify the contribution of each data modality, followed by time-to-event survival modeling.</w:t>
      </w:r>
    </w:p>
    <w:p>
      <w:pPr>
        <w:pStyle w:val="Heading1"/>
      </w:pPr>
      <w:r>
        <w:rPr>
          <w:rFonts w:ascii="Arial" w:cs="Arial" w:eastAsia="Arial" w:hAnsi="Arial"/>
          <w:b/>
          <w:bCs/>
        </w:rPr>
        <w:t xml:space="preserve">2. Exploratory Data Analysis</w:t>
      </w:r>
    </w:p>
    <w:p>
      <w:pPr>
        <w:pStyle w:val="Heading2"/>
      </w:pPr>
      <w:r>
        <w:rPr>
          <w:rFonts w:ascii="Arial" w:cs="Arial" w:eastAsia="Arial" w:hAnsi="Arial"/>
          <w:b/>
          <w:bCs/>
        </w:rPr>
        <w:t xml:space="preserve">2.1 Clinical Demographics &amp; Biomarkers</w:t>
      </w:r>
    </w:p>
    <w:p>
      <w:pPr>
        <w:spacing w:before="80" w:after="80" w:line="276"/>
        <w:jc w:val="both"/>
      </w:pPr>
      <w:r>
        <w:rPr>
          <w:rFonts w:ascii="Arial" w:cs="Arial" w:eastAsia="Arial" w:hAnsi="Arial"/>
          <w:b w:val="false"/>
          <w:bCs w:val="false"/>
          <w:i w:val="false"/>
          <w:iCs w:val="false"/>
          <w:color w:val="333333"/>
          <w:sz w:val="21"/>
          <w:szCs w:val="21"/>
        </w:rPr>
        <w:t xml:space="preserve">The cohort comprises patients aged 21–96 years (mean 61.1). Tumor size ranges from 1 to 182 mm (median 25 mm). Grade 3 tumors predominate (~45%), indicating an aggressive cohort. Receptor status: ER+ 76.7%, PR+ 53.3%, HER2+ 12.3%. Triple Negative Breast Cancer (ER−/PR−/HER2−) accounts for 15.7%, representing the most clinically challenging subgroup.</w:t>
      </w:r>
    </w:p>
    <w:p>
      <w:pPr>
        <w:pStyle w:val="Heading2"/>
      </w:pPr>
      <w:r>
        <w:rPr>
          <w:rFonts w:ascii="Arial" w:cs="Arial" w:eastAsia="Arial" w:hAnsi="Arial"/>
          <w:b/>
          <w:bCs/>
        </w:rPr>
        <w:t xml:space="preserve">2.2 Mutation Volcano Plot Analysis</w:t>
      </w:r>
    </w:p>
    <w:p>
      <w:pPr>
        <w:spacing w:before="80" w:after="80" w:line="276"/>
        <w:jc w:val="both"/>
      </w:pPr>
      <w:r>
        <w:rPr>
          <w:rFonts w:ascii="Arial" w:cs="Arial" w:eastAsia="Arial" w:hAnsi="Arial"/>
          <w:b w:val="false"/>
          <w:bCs w:val="false"/>
          <w:i w:val="false"/>
          <w:iCs w:val="false"/>
          <w:color w:val="333333"/>
          <w:sz w:val="21"/>
          <w:szCs w:val="21"/>
        </w:rPr>
        <w:t xml:space="preserve">We applied Fisher’s exact test to each of 173 mutations against cancer-specific death, visualized as a volcano plot (log2 Odds Ratio vs. −log10 p-value). Three mutations exceeded both significance (p &lt; 0.05) and effect-size (|log2 OR| &gt; 1.0) thresholds:</w:t>
      </w:r>
    </w:p>
    <w:p>
      <w:pPr>
        <w:pStyle w:val="ListParagraph"/>
        <w:numPr>
          <w:ilvl w:val="0"/>
          <w:numId w:val="2"/>
        </w:numPr>
        <w:spacing w:before="20" w:after="20" w:line="264"/>
      </w:pPr>
      <w:r>
        <w:rPr>
          <w:rFonts w:ascii="Arial" w:cs="Arial" w:eastAsia="Arial" w:hAnsi="Arial"/>
          <w:b/>
          <w:bCs/>
          <w:color w:val="333333"/>
          <w:sz w:val="20"/>
          <w:szCs w:val="20"/>
        </w:rPr>
        <w:t xml:space="preserve">TP53: </w:t>
      </w:r>
      <w:r>
        <w:rPr>
          <w:rFonts w:ascii="Arial" w:cs="Arial" w:eastAsia="Arial" w:hAnsi="Arial"/>
          <w:color w:val="333333"/>
          <w:sz w:val="20"/>
          <w:szCs w:val="20"/>
        </w:rPr>
        <w:t xml:space="preserve">the strongest risk mutation, consistent with its role as a tumor suppressor whose loss drives genomic instability and aggressive phenotypes.</w:t>
      </w:r>
    </w:p>
    <w:p>
      <w:pPr>
        <w:pStyle w:val="ListParagraph"/>
        <w:numPr>
          <w:ilvl w:val="0"/>
          <w:numId w:val="2"/>
        </w:numPr>
        <w:spacing w:before="20" w:after="20" w:line="264"/>
      </w:pPr>
      <w:r>
        <w:rPr>
          <w:rFonts w:ascii="Arial" w:cs="Arial" w:eastAsia="Arial" w:hAnsi="Arial"/>
          <w:b/>
          <w:bCs/>
          <w:color w:val="333333"/>
          <w:sz w:val="20"/>
          <w:szCs w:val="20"/>
        </w:rPr>
        <w:t xml:space="preserve">GATA3: </w:t>
      </w:r>
      <w:r>
        <w:rPr>
          <w:rFonts w:ascii="Arial" w:cs="Arial" w:eastAsia="Arial" w:hAnsi="Arial"/>
          <w:color w:val="333333"/>
          <w:sz w:val="20"/>
          <w:szCs w:val="20"/>
        </w:rPr>
        <w:t xml:space="preserve">a protective mutation associated with favorable luminal A subtype and better outcomes in the literature.</w:t>
      </w:r>
    </w:p>
    <w:p>
      <w:pPr>
        <w:pStyle w:val="ListParagraph"/>
        <w:numPr>
          <w:ilvl w:val="0"/>
          <w:numId w:val="2"/>
        </w:numPr>
        <w:spacing w:before="20" w:after="20" w:line="264"/>
      </w:pPr>
      <w:r>
        <w:rPr>
          <w:rFonts w:ascii="Arial" w:cs="Arial" w:eastAsia="Arial" w:hAnsi="Arial"/>
          <w:b/>
          <w:bCs/>
          <w:color w:val="333333"/>
          <w:sz w:val="20"/>
          <w:szCs w:val="20"/>
        </w:rPr>
        <w:t xml:space="preserve">THSD7A: </w:t>
      </w:r>
      <w:r>
        <w:rPr>
          <w:rFonts w:ascii="Arial" w:cs="Arial" w:eastAsia="Arial" w:hAnsi="Arial"/>
          <w:color w:val="333333"/>
          <w:sz w:val="20"/>
          <w:szCs w:val="20"/>
        </w:rPr>
        <w:t xml:space="preserve">a risk-associated mutation, less frequently studied in breast cancer but statistically significant in our cohort.</w:t>
      </w:r>
    </w:p>
    <w:p>
      <w:pPr>
        <w:spacing w:before="80" w:after="80" w:line="276"/>
        <w:jc w:val="both"/>
      </w:pPr>
      <w:r>
        <w:rPr>
          <w:rFonts w:ascii="Arial" w:cs="Arial" w:eastAsia="Arial" w:hAnsi="Arial"/>
          <w:b w:val="false"/>
          <w:bCs w:val="false"/>
          <w:i w:val="false"/>
          <w:iCs w:val="false"/>
          <w:color w:val="333333"/>
          <w:sz w:val="21"/>
          <w:szCs w:val="21"/>
        </w:rPr>
        <w:t xml:space="preserve">These findings provide biological validation for the machine learning results and guided our feature selection strategy.</w:t>
      </w:r>
    </w:p>
    <w:p>
      <w:pPr>
        <w:pStyle w:val="Heading1"/>
      </w:pPr>
      <w:r>
        <w:rPr>
          <w:rFonts w:ascii="Arial" w:cs="Arial" w:eastAsia="Arial" w:hAnsi="Arial"/>
          <w:b/>
          <w:bCs/>
        </w:rPr>
        <w:t xml:space="preserve">3. Methodology</w:t>
      </w:r>
    </w:p>
    <w:p>
      <w:pPr>
        <w:pStyle w:val="Heading2"/>
      </w:pPr>
      <w:r>
        <w:rPr>
          <w:rFonts w:ascii="Arial" w:cs="Arial" w:eastAsia="Arial" w:hAnsi="Arial"/>
          <w:b/>
          <w:bCs/>
        </w:rPr>
        <w:t xml:space="preserve">3.1 Preprocessing &amp; Target Engineering</w:t>
      </w:r>
    </w:p>
    <w:p>
      <w:pPr>
        <w:spacing w:before="80" w:after="80" w:line="276"/>
        <w:jc w:val="both"/>
      </w:pPr>
      <w:r>
        <w:rPr>
          <w:rFonts w:ascii="Arial" w:cs="Arial" w:eastAsia="Arial" w:hAnsi="Arial"/>
          <w:b w:val="false"/>
          <w:bCs w:val="false"/>
          <w:i w:val="false"/>
          <w:iCs w:val="false"/>
          <w:color w:val="333333"/>
          <w:sz w:val="21"/>
          <w:szCs w:val="21"/>
        </w:rPr>
        <w:t xml:space="preserve">Mutation columns were binarized (0/1). Rows with missing survival data were removed. Early-censored patients (alive but follow-up &lt; 60 months) were excluded to prevent ambiguous labels. The classification target: survived_5_years = 1 if survival ≥ 60 months. For time-to-event analysis, a structured array was constructed with event status and duration. All preprocessing was encapsulated in scikit-learn Pipelines to prevent data leakage. An 80/20 stratified split was used (random_state=42).</w:t>
      </w:r>
    </w:p>
    <w:p>
      <w:pPr>
        <w:pStyle w:val="Heading2"/>
      </w:pPr>
      <w:r>
        <w:rPr>
          <w:rFonts w:ascii="Arial" w:cs="Arial" w:eastAsia="Arial" w:hAnsi="Arial"/>
          <w:b/>
          <w:bCs/>
        </w:rPr>
        <w:t xml:space="preserve">3.2 Feature Groups &amp; Pipelines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906"/>
      </w:tblGrid>
      <w:tr>
        <w:tc>
          <w:tcPr>
            <w:tcW w:type="dxa" w:w="18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Modality</w:t>
            </w:r>
          </w:p>
        </w:tc>
        <w:tc>
          <w:tcPr>
            <w:tcW w:type="dxa" w:w="22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Dimensions</w:t>
            </w:r>
          </w:p>
        </w:tc>
        <w:tc>
          <w:tcPr>
            <w:tcW w:type="dxa" w:w="5906"/>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Preprocessing</w:t>
            </w:r>
          </w:p>
        </w:tc>
      </w:tr>
      <w:tr>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bCs/>
                <w:sz w:val="19"/>
                <w:szCs w:val="19"/>
              </w:rPr>
              <w:t xml:space="preserve">Clinical</w:t>
            </w:r>
          </w:p>
        </w:tc>
        <w:tc>
          <w:tcPr>
            <w:tcW w:type="dxa" w:w="22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11 features</w:t>
            </w:r>
          </w:p>
        </w:tc>
        <w:tc>
          <w:tcPr>
            <w:tcW w:type="dxa" w:w="59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Median imputation (numeric), mode + one-hot (categorical), StandardScaler</w:t>
            </w:r>
          </w:p>
        </w:tc>
      </w:tr>
      <w:tr>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bCs/>
                <w:sz w:val="19"/>
                <w:szCs w:val="19"/>
              </w:rPr>
              <w:t xml:space="preserve">Gene Expr.</w:t>
            </w:r>
          </w:p>
        </w:tc>
        <w:tc>
          <w:tcPr>
            <w:tcW w:type="dxa" w:w="22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489 → 30 (PCA)</w:t>
            </w:r>
          </w:p>
        </w:tc>
        <w:tc>
          <w:tcPr>
            <w:tcW w:type="dxa" w:w="59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Median imputation, StandardScaler, PCA 30 components (49.6% variance)</w:t>
            </w:r>
          </w:p>
        </w:tc>
      </w:tr>
      <w:tr>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bCs/>
                <w:sz w:val="19"/>
                <w:szCs w:val="19"/>
              </w:rPr>
              <w:t xml:space="preserve">Mutations</w:t>
            </w:r>
          </w:p>
        </w:tc>
        <w:tc>
          <w:tcPr>
            <w:tcW w:type="dxa" w:w="22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173 → 20 (KBest)</w:t>
            </w:r>
          </w:p>
        </w:tc>
        <w:tc>
          <w:tcPr>
            <w:tcW w:type="dxa" w:w="59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Binary features, ANOVA F-test selection of top 20 mutations</w:t>
            </w:r>
          </w:p>
        </w:tc>
      </w:tr>
    </w:tbl>
    <w:p>
      <w:pPr>
        <w:pStyle w:val="Heading2"/>
      </w:pPr>
      <w:r>
        <w:rPr>
          <w:rFonts w:ascii="Arial" w:cs="Arial" w:eastAsia="Arial" w:hAnsi="Arial"/>
          <w:b/>
          <w:bCs/>
        </w:rPr>
        <w:t xml:space="preserve">3.3 Modeling Strategy</w:t>
      </w:r>
    </w:p>
    <w:p>
      <w:pPr>
        <w:spacing w:before="80" w:after="80" w:line="276"/>
        <w:jc w:val="both"/>
      </w:pPr>
      <w:r>
        <w:rPr>
          <w:rFonts w:ascii="Arial" w:cs="Arial" w:eastAsia="Arial" w:hAnsi="Arial"/>
          <w:b/>
          <w:bCs/>
          <w:color w:val="333333"/>
          <w:sz w:val="21"/>
          <w:szCs w:val="21"/>
        </w:rPr>
        <w:t xml:space="preserve">Phase 1 — Ablation Study. </w:t>
      </w:r>
      <w:r>
        <w:rPr>
          <w:rFonts w:ascii="Arial" w:cs="Arial" w:eastAsia="Arial" w:hAnsi="Arial"/>
          <w:b w:val="false"/>
          <w:bCs w:val="false"/>
          <w:i w:val="false"/>
          <w:iCs w:val="false"/>
          <w:color w:val="333333"/>
          <w:sz w:val="21"/>
          <w:szCs w:val="21"/>
        </w:rPr>
        <w:t xml:space="preserve">We trained four identical ensemble classifiers (soft-voting: Logistic Regression + Random Forest + Gradient Boosting) on different feature subsets to isolate each modality’s contribution. This ablation design quantifies the added value of genomic data beyond clinical features.</w:t>
      </w:r>
    </w:p>
    <w:p>
      <w:pPr>
        <w:spacing w:before="80" w:after="80" w:line="276"/>
        <w:jc w:val="both"/>
      </w:pPr>
      <w:r>
        <w:rPr>
          <w:rFonts w:ascii="Arial" w:cs="Arial" w:eastAsia="Arial" w:hAnsi="Arial"/>
          <w:b/>
          <w:bCs/>
          <w:color w:val="333333"/>
          <w:sz w:val="21"/>
          <w:szCs w:val="21"/>
        </w:rPr>
        <w:t xml:space="preserve">Phase 2 — Time-to-Event. </w:t>
      </w:r>
      <w:r>
        <w:rPr>
          <w:rFonts w:ascii="Arial" w:cs="Arial" w:eastAsia="Arial" w:hAnsi="Arial"/>
          <w:b w:val="false"/>
          <w:bCs w:val="false"/>
          <w:i w:val="false"/>
          <w:iCs w:val="false"/>
          <w:color w:val="333333"/>
          <w:sz w:val="21"/>
          <w:szCs w:val="21"/>
        </w:rPr>
        <w:t xml:space="preserve">Using scikit-survival, we trained three survival models on the full feature set: Cox Proportional Hazards (α=0.1), Random Survival Forest (100 trees), and Gradient Boosting Survival (100 estimators). Performance measured by Concordance Index.</w:t>
      </w:r>
    </w:p>
    <w:p>
      <w:pPr>
        <w:pStyle w:val="Heading1"/>
      </w:pPr>
      <w:r>
        <w:rPr>
          <w:rFonts w:ascii="Arial" w:cs="Arial" w:eastAsia="Arial" w:hAnsi="Arial"/>
          <w:b/>
          <w:bCs/>
        </w:rPr>
        <w:t xml:space="preserve">4. Results</w:t>
      </w:r>
    </w:p>
    <w:p>
      <w:pPr>
        <w:pStyle w:val="Heading2"/>
      </w:pPr>
      <w:r>
        <w:rPr>
          <w:rFonts w:ascii="Arial" w:cs="Arial" w:eastAsia="Arial" w:hAnsi="Arial"/>
          <w:b/>
          <w:bCs/>
        </w:rPr>
        <w:t xml:space="preserve">4.1 Ablation Study: 5-Year Survival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100"/>
        <w:gridCol w:w="2006"/>
      </w:tblGrid>
      <w:tr>
        <w:tc>
          <w:tcPr>
            <w:tcW w:type="dxa" w:w="38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Feature Configuration</w:t>
            </w:r>
          </w:p>
        </w:tc>
        <w:tc>
          <w:tcPr>
            <w:tcW w:type="dxa" w:w="20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AUC-ROC</w:t>
            </w:r>
          </w:p>
        </w:tc>
        <w:tc>
          <w:tcPr>
            <w:tcW w:type="dxa" w:w="21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Δ vs Baseline</w:t>
            </w:r>
          </w:p>
        </w:tc>
        <w:tc>
          <w:tcPr>
            <w:tcW w:type="dxa" w:w="2006"/>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Rank</w:t>
            </w:r>
          </w:p>
        </w:tc>
      </w:tr>
      <w:tr>
        <w:tc>
          <w:tcPr>
            <w:tcW w:type="dxa" w:w="3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bCs/>
                <w:sz w:val="19"/>
                <w:szCs w:val="19"/>
              </w:rPr>
              <w:t xml:space="preserve">Clinical Only (baseline)</w:t>
            </w:r>
          </w:p>
        </w:tc>
        <w:tc>
          <w:tcPr>
            <w:tcW w:type="dxa" w:w="20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0.7624</w:t>
            </w:r>
          </w:p>
        </w:tc>
        <w:tc>
          <w:tcPr>
            <w:tcW w:type="dxa" w:w="21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w:t>
            </w:r>
          </w:p>
        </w:tc>
        <w:tc>
          <w:tcPr>
            <w:tcW w:type="dxa" w:w="20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2nd</w:t>
            </w:r>
          </w:p>
        </w:tc>
      </w:tr>
      <w:tr>
        <w:tc>
          <w:tcPr>
            <w:tcW w:type="dxa" w:w="3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Genes Only (PCA-30)</w:t>
            </w:r>
          </w:p>
        </w:tc>
        <w:tc>
          <w:tcPr>
            <w:tcW w:type="dxa" w:w="20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0.7168</w:t>
            </w:r>
          </w:p>
        </w:tc>
        <w:tc>
          <w:tcPr>
            <w:tcW w:type="dxa" w:w="21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−0.046</w:t>
            </w:r>
          </w:p>
        </w:tc>
        <w:tc>
          <w:tcPr>
            <w:tcW w:type="dxa" w:w="20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3rd</w:t>
            </w:r>
          </w:p>
        </w:tc>
      </w:tr>
      <w:tr>
        <w:tc>
          <w:tcPr>
            <w:tcW w:type="dxa" w:w="3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Mutations Only (top 20)</w:t>
            </w:r>
          </w:p>
        </w:tc>
        <w:tc>
          <w:tcPr>
            <w:tcW w:type="dxa" w:w="20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0.6589</w:t>
            </w:r>
          </w:p>
        </w:tc>
        <w:tc>
          <w:tcPr>
            <w:tcW w:type="dxa" w:w="21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−0.104</w:t>
            </w:r>
          </w:p>
        </w:tc>
        <w:tc>
          <w:tcPr>
            <w:tcW w:type="dxa" w:w="20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4th</w:t>
            </w:r>
          </w:p>
        </w:tc>
      </w:tr>
      <w:tr>
        <w:tc>
          <w:tcPr>
            <w:tcW w:type="dxa" w:w="38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bCs/>
                <w:sz w:val="19"/>
                <w:szCs w:val="19"/>
              </w:rPr>
              <w:t xml:space="preserve">Master Model (integrated)</w:t>
            </w:r>
          </w:p>
        </w:tc>
        <w:tc>
          <w:tcPr>
            <w:tcW w:type="dxa" w:w="2000"/>
            <w:tcBorders>
              <w:top w:val="single" w:color="BFBFBF" w:sz="1"/>
              <w:left w:val="single" w:color="BFBFBF" w:sz="1"/>
              <w:bottom w:val="single" w:color="BFBFBF" w:sz="1"/>
              <w:right w:val="single" w:color="BFBFBF" w:sz="1"/>
            </w:tcBorders>
            <w:shd w:fill="D5F5E3" w:val="clear"/>
            <w:tcMar>
              <w:top w:type="dxa" w:w="50"/>
              <w:left w:type="dxa" w:w="100"/>
              <w:bottom w:type="dxa" w:w="50"/>
              <w:right w:type="dxa" w:w="100"/>
            </w:tcMar>
          </w:tcPr>
          <w:p>
            <w:pPr>
              <w:jc w:val="center"/>
            </w:pPr>
            <w:r>
              <w:rPr>
                <w:rFonts w:ascii="Arial" w:cs="Arial" w:eastAsia="Arial" w:hAnsi="Arial"/>
                <w:b/>
                <w:bCs/>
                <w:sz w:val="19"/>
                <w:szCs w:val="19"/>
              </w:rPr>
              <w:t xml:space="preserve">0.7985</w:t>
            </w:r>
          </w:p>
        </w:tc>
        <w:tc>
          <w:tcPr>
            <w:tcW w:type="dxa" w:w="2100"/>
            <w:tcBorders>
              <w:top w:val="single" w:color="BFBFBF" w:sz="1"/>
              <w:left w:val="single" w:color="BFBFBF" w:sz="1"/>
              <w:bottom w:val="single" w:color="BFBFBF" w:sz="1"/>
              <w:right w:val="single" w:color="BFBFBF" w:sz="1"/>
            </w:tcBorders>
            <w:shd w:fill="D5F5E3"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+0.036 (+4.7%)</w:t>
            </w:r>
          </w:p>
        </w:tc>
        <w:tc>
          <w:tcPr>
            <w:tcW w:type="dxa" w:w="2006"/>
            <w:tcBorders>
              <w:top w:val="single" w:color="BFBFBF" w:sz="1"/>
              <w:left w:val="single" w:color="BFBFBF" w:sz="1"/>
              <w:bottom w:val="single" w:color="BFBFBF" w:sz="1"/>
              <w:right w:val="single" w:color="BFBFBF" w:sz="1"/>
            </w:tcBorders>
            <w:shd w:fill="D5F5E3" w:val="clear"/>
            <w:tcMar>
              <w:top w:type="dxa" w:w="50"/>
              <w:left w:type="dxa" w:w="100"/>
              <w:bottom w:type="dxa" w:w="50"/>
              <w:right w:type="dxa" w:w="100"/>
            </w:tcMar>
          </w:tcPr>
          <w:p>
            <w:pPr>
              <w:jc w:val="center"/>
            </w:pPr>
            <w:r>
              <w:rPr>
                <w:rFonts w:ascii="Arial" w:cs="Arial" w:eastAsia="Arial" w:hAnsi="Arial"/>
                <w:b/>
                <w:bCs/>
                <w:sz w:val="19"/>
                <w:szCs w:val="19"/>
              </w:rPr>
              <w:t xml:space="preserve">1st</w:t>
            </w:r>
          </w:p>
        </w:tc>
      </w:tr>
    </w:tbl>
    <w:p>
      <w:pPr>
        <w:spacing w:before="50" w:after="80" w:line="276"/>
        <w:jc w:val="both"/>
      </w:pPr>
      <w:r>
        <w:rPr>
          <w:rFonts w:ascii="Arial" w:cs="Arial" w:eastAsia="Arial" w:hAnsi="Arial"/>
          <w:b w:val="false"/>
          <w:bCs w:val="false"/>
          <w:i w:val="false"/>
          <w:iCs w:val="false"/>
          <w:color w:val="333333"/>
          <w:sz w:val="21"/>
          <w:szCs w:val="21"/>
        </w:rPr>
        <w:t xml:space="preserve">Clinical features provide the strongest individual signal. Genomic data adds moderate value independently, but integration yields the best result. The ROC curves confirm the Master Model consistently dominates across all thresholds.</w:t>
      </w:r>
    </w:p>
    <w:p>
      <w:pPr>
        <w:pStyle w:val="Heading2"/>
      </w:pPr>
      <w:r>
        <w:rPr>
          <w:rFonts w:ascii="Arial" w:cs="Arial" w:eastAsia="Arial" w:hAnsi="Arial"/>
          <w:b/>
          <w:bCs/>
        </w:rPr>
        <w:t xml:space="preserve">4.2 Time-to-Event Survival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2200"/>
        <w:gridCol w:w="2206"/>
      </w:tblGrid>
      <w:tr>
        <w:tc>
          <w:tcPr>
            <w:tcW w:type="dxa" w:w="55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Survival Model</w:t>
            </w:r>
          </w:p>
        </w:tc>
        <w:tc>
          <w:tcPr>
            <w:tcW w:type="dxa" w:w="2200"/>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C-Index</w:t>
            </w:r>
          </w:p>
        </w:tc>
        <w:tc>
          <w:tcPr>
            <w:tcW w:type="dxa" w:w="2206"/>
            <w:tcBorders>
              <w:top w:val="single" w:color="BFBFBF" w:sz="1"/>
              <w:left w:val="single" w:color="BFBFBF" w:sz="1"/>
              <w:bottom w:val="single" w:color="BFBFBF" w:sz="1"/>
              <w:right w:val="single" w:color="BFBFBF" w:sz="1"/>
            </w:tcBorders>
            <w:shd w:fill="2C3E50" w:val="clear"/>
            <w:tcMar>
              <w:top w:type="dxa" w:w="50"/>
              <w:left w:type="dxa" w:w="100"/>
              <w:bottom w:type="dxa" w:w="50"/>
              <w:right w:type="dxa" w:w="100"/>
            </w:tcMar>
          </w:tcPr>
          <w:p>
            <w:pPr>
              <w:jc w:val="center"/>
            </w:pPr>
            <w:r>
              <w:rPr>
                <w:rFonts w:ascii="Arial" w:cs="Arial" w:eastAsia="Arial" w:hAnsi="Arial"/>
                <w:b/>
                <w:bCs/>
                <w:color w:val="FFFFFF"/>
                <w:sz w:val="19"/>
                <w:szCs w:val="19"/>
              </w:rPr>
              <w:t xml:space="preserve">Rank</w:t>
            </w:r>
          </w:p>
        </w:tc>
      </w:tr>
      <w:tr>
        <w:tc>
          <w:tcPr>
            <w:tcW w:type="dxa" w:w="55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bCs/>
                <w:sz w:val="19"/>
                <w:szCs w:val="19"/>
              </w:rPr>
              <w:t xml:space="preserve">Cox Proportional Hazards (α=0.1)</w:t>
            </w:r>
          </w:p>
        </w:tc>
        <w:tc>
          <w:tcPr>
            <w:tcW w:type="dxa" w:w="2200"/>
            <w:tcBorders>
              <w:top w:val="single" w:color="BFBFBF" w:sz="1"/>
              <w:left w:val="single" w:color="BFBFBF" w:sz="1"/>
              <w:bottom w:val="single" w:color="BFBFBF" w:sz="1"/>
              <w:right w:val="single" w:color="BFBFBF" w:sz="1"/>
            </w:tcBorders>
            <w:shd w:fill="D5F5E3" w:val="clear"/>
            <w:tcMar>
              <w:top w:type="dxa" w:w="50"/>
              <w:left w:type="dxa" w:w="100"/>
              <w:bottom w:type="dxa" w:w="50"/>
              <w:right w:type="dxa" w:w="100"/>
            </w:tcMar>
          </w:tcPr>
          <w:p>
            <w:pPr>
              <w:jc w:val="center"/>
            </w:pPr>
            <w:r>
              <w:rPr>
                <w:rFonts w:ascii="Arial" w:cs="Arial" w:eastAsia="Arial" w:hAnsi="Arial"/>
                <w:b/>
                <w:bCs/>
                <w:sz w:val="19"/>
                <w:szCs w:val="19"/>
              </w:rPr>
              <w:t xml:space="preserve">0.6734</w:t>
            </w:r>
          </w:p>
        </w:tc>
        <w:tc>
          <w:tcPr>
            <w:tcW w:type="dxa" w:w="2206"/>
            <w:tcBorders>
              <w:top w:val="single" w:color="BFBFBF" w:sz="1"/>
              <w:left w:val="single" w:color="BFBFBF" w:sz="1"/>
              <w:bottom w:val="single" w:color="BFBFBF" w:sz="1"/>
              <w:right w:val="single" w:color="BFBFBF" w:sz="1"/>
            </w:tcBorders>
            <w:shd w:fill="D5F5E3"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1st</w:t>
            </w:r>
          </w:p>
        </w:tc>
      </w:tr>
      <w:tr>
        <w:tc>
          <w:tcPr>
            <w:tcW w:type="dxa" w:w="55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Gradient Boosting Survival</w:t>
            </w:r>
          </w:p>
        </w:tc>
        <w:tc>
          <w:tcPr>
            <w:tcW w:type="dxa" w:w="22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0.6653</w:t>
            </w:r>
          </w:p>
        </w:tc>
        <w:tc>
          <w:tcPr>
            <w:tcW w:type="dxa" w:w="22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2nd</w:t>
            </w:r>
          </w:p>
        </w:tc>
      </w:tr>
      <w:tr>
        <w:tc>
          <w:tcPr>
            <w:tcW w:type="dxa" w:w="55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left"/>
            </w:pPr>
            <w:r>
              <w:rPr>
                <w:rFonts w:ascii="Arial" w:cs="Arial" w:eastAsia="Arial" w:hAnsi="Arial"/>
                <w:b w:val="false"/>
                <w:bCs w:val="false"/>
                <w:sz w:val="19"/>
                <w:szCs w:val="19"/>
              </w:rPr>
              <w:t xml:space="preserve">Random Survival Forest</w:t>
            </w:r>
          </w:p>
        </w:tc>
        <w:tc>
          <w:tcPr>
            <w:tcW w:type="dxa" w:w="2200"/>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0.6504</w:t>
            </w:r>
          </w:p>
        </w:tc>
        <w:tc>
          <w:tcPr>
            <w:tcW w:type="dxa" w:w="2206"/>
            <w:tcBorders>
              <w:top w:val="single" w:color="BFBFBF" w:sz="1"/>
              <w:left w:val="single" w:color="BFBFBF" w:sz="1"/>
              <w:bottom w:val="single" w:color="BFBFBF" w:sz="1"/>
              <w:right w:val="single" w:color="BFBFBF" w:sz="1"/>
            </w:tcBorders>
            <w:tcMar>
              <w:top w:type="dxa" w:w="50"/>
              <w:left w:type="dxa" w:w="100"/>
              <w:bottom w:type="dxa" w:w="50"/>
              <w:right w:type="dxa" w:w="100"/>
            </w:tcMar>
          </w:tcPr>
          <w:p>
            <w:pPr>
              <w:jc w:val="center"/>
            </w:pPr>
            <w:r>
              <w:rPr>
                <w:rFonts w:ascii="Arial" w:cs="Arial" w:eastAsia="Arial" w:hAnsi="Arial"/>
                <w:b w:val="false"/>
                <w:bCs w:val="false"/>
                <w:sz w:val="19"/>
                <w:szCs w:val="19"/>
              </w:rPr>
              <w:t xml:space="preserve">3rd</w:t>
            </w:r>
          </w:p>
        </w:tc>
      </w:tr>
    </w:tbl>
    <w:p>
      <w:pPr>
        <w:spacing w:before="50" w:after="80" w:line="276"/>
        <w:jc w:val="both"/>
      </w:pPr>
      <w:r>
        <w:rPr>
          <w:rFonts w:ascii="Arial" w:cs="Arial" w:eastAsia="Arial" w:hAnsi="Arial"/>
          <w:b w:val="false"/>
          <w:bCs w:val="false"/>
          <w:i w:val="false"/>
          <w:iCs w:val="false"/>
          <w:color w:val="333333"/>
          <w:sz w:val="21"/>
          <w:szCs w:val="21"/>
        </w:rPr>
        <w:t xml:space="preserve">Cox PH achieves the best C-Index (0.6734). These values reflect the inherent difficulty of predicting exact survival timelines and are consistent with published METABRIC benchmarks.</w:t>
      </w:r>
    </w:p>
    <w:p>
      <w:pPr>
        <w:pStyle w:val="Heading1"/>
      </w:pPr>
      <w:r>
        <w:rPr>
          <w:rFonts w:ascii="Arial" w:cs="Arial" w:eastAsia="Arial" w:hAnsi="Arial"/>
          <w:b/>
          <w:bCs/>
        </w:rPr>
        <w:t xml:space="preserve">5. Discussion &amp; Conclusion</w:t>
      </w:r>
    </w:p>
    <w:p>
      <w:pPr>
        <w:spacing w:before="80" w:after="80" w:line="276"/>
        <w:jc w:val="both"/>
      </w:pPr>
      <w:r>
        <w:rPr>
          <w:rFonts w:ascii="Arial" w:cs="Arial" w:eastAsia="Arial" w:hAnsi="Arial"/>
          <w:b w:val="false"/>
          <w:bCs w:val="false"/>
          <w:i w:val="false"/>
          <w:iCs w:val="false"/>
          <w:color w:val="333333"/>
          <w:sz w:val="21"/>
          <w:szCs w:val="21"/>
        </w:rPr>
        <w:t xml:space="preserve">The ablation study yields three key insights. First, clinical features remain the dominant predictive signal for 5-year breast cancer survival, consistent with established oncology practice. Second, genomic integration raises AUC from 0.7624 to 0.7985 (+4.7%), demonstrating that molecular data adds measurable value when combined with clinical variables. Third, mutations alone are the weakest individual predictor (AUC 0.6589), which is expected given their extreme sparsity — most genes are mutated in fewer than 5% of patients.</w:t>
      </w:r>
    </w:p>
    <w:p>
      <w:pPr>
        <w:spacing w:before="80" w:after="80" w:line="276"/>
        <w:jc w:val="both"/>
      </w:pPr>
      <w:r>
        <w:rPr>
          <w:rFonts w:ascii="Arial" w:cs="Arial" w:eastAsia="Arial" w:hAnsi="Arial"/>
          <w:b w:val="false"/>
          <w:bCs w:val="false"/>
          <w:i w:val="false"/>
          <w:iCs w:val="false"/>
          <w:color w:val="333333"/>
          <w:sz w:val="21"/>
          <w:szCs w:val="21"/>
        </w:rPr>
        <w:t xml:space="preserve">The volcano plot analysis independently validates our pipeline: TP53 mutations (the most statistically significant risk factor) are well-established drivers of aggressive breast cancer, while GATA3 mutations (protective) are characteristic of favorable luminal subtypes. This convergence between statistical analysis and known biology strengthens confidence in the clinical relevance of our approach.</w:t>
      </w:r>
    </w:p>
    <w:p>
      <w:pPr>
        <w:spacing w:before="80" w:after="80" w:line="276"/>
        <w:jc w:val="both"/>
      </w:pPr>
      <w:r>
        <w:rPr>
          <w:rFonts w:ascii="Arial" w:cs="Arial" w:eastAsia="Arial" w:hAnsi="Arial"/>
          <w:b w:val="false"/>
          <w:bCs w:val="false"/>
          <w:i w:val="false"/>
          <w:iCs w:val="false"/>
          <w:color w:val="333333"/>
          <w:sz w:val="21"/>
          <w:szCs w:val="21"/>
        </w:rPr>
        <w:t xml:space="preserve">Integrating clinical, gene expression, and mutation data through a rigorous ML pipeline improves breast cancer survival prediction. The integrated model achieves AUC 0.7985 (+4.7% over clinical baseline), with time-to-event analysis confirming predictive validity (C-Index 0.6734). Our systematic ablation study provides a transparent and reproducible framework, and the convergence between computational findings and established biological knowledge supports the integration of multi-modal molecular data into clinical decision-making for breast cancer prognosis.</w:t>
      </w:r>
    </w:p>
    <w:sectPr>
      <w:pgSz w:w="11906" w:h="16838" w:orient="portrait"/>
      <w:pgMar w:top="950" w:right="1000" w:bottom="9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abstractNum w:abstractNumId="4" w15:restartNumberingAfterBreak="0">
    <w:multiLevelType w:val="hybridMultilevel"/>
    <w:lvl w:ilvl="0" w15:tentative="1">
      <w:start w:val="1"/>
      <w:numFmt w:val="bullet"/>
      <w:lvlText w:val="•"/>
      <w:lvlJc w:val="left"/>
      <w:pPr>
        <w:ind w:left="420" w:hanging="220"/>
      </w:pPr>
    </w:lvl>
  </w:abstractNum>
  <w:abstractNum w:abstractNumId="5"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C5E" w:sz="2" w:space="2"/>
      </w:pBdr>
      <w:spacing w:before="220" w:after="80"/>
      <w:outlineLvl w:val="0"/>
    </w:pPr>
    <w:rPr>
      <w:rFonts w:ascii="Arial" w:cs="Arial" w:eastAsia="Arial" w:hAnsi="Arial"/>
      <w:b/>
      <w:bCs/>
      <w:color w:val="1A3C5E"/>
      <w:sz w:val="28"/>
      <w:szCs w:val="28"/>
    </w:rPr>
  </w:style>
  <w:style w:type="paragraph" w:styleId="Heading2">
    <w:name w:val="Heading 2"/>
    <w:basedOn w:val="Normal"/>
    <w:next w:val="Normal"/>
    <w:qFormat/>
    <w:pPr>
      <w:spacing w:before="160" w:after="50"/>
      <w:outlineLvl w:val="1"/>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2026-03-03T16:45:00.805Z</dcterms:created>
  <dcterms:modified xsi:type="dcterms:W3CDTF">2026-03-03T16:45:00.806Z</dcterms:modified>
</cp:coreProperties>
</file>

<file path=docProps/custom.xml><?xml version="1.0" encoding="utf-8"?>
<Properties xmlns="http://schemas.openxmlformats.org/officeDocument/2006/custom-properties" xmlns:vt="http://schemas.openxmlformats.org/officeDocument/2006/docPropsVTypes"/>
</file>