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776CDD" w14:textId="77777777" w:rsidR="00461DFB" w:rsidRPr="00461DFB" w:rsidRDefault="00461DFB" w:rsidP="00461DFB">
      <w:pPr>
        <w:pStyle w:val="Title"/>
        <w:jc w:val="center"/>
        <w:rPr>
          <w:sz w:val="44"/>
          <w:szCs w:val="44"/>
        </w:rPr>
      </w:pPr>
      <w:r w:rsidRPr="00461DFB">
        <w:rPr>
          <w:sz w:val="44"/>
          <w:szCs w:val="44"/>
        </w:rPr>
        <w:t>Machine Learning-Based Customer Segmentation and Revenue Forecasting: A Case Study of Food Delivery</w:t>
      </w:r>
    </w:p>
    <w:p w14:paraId="7C9DA2BE" w14:textId="77777777" w:rsidR="00D00A4A" w:rsidRDefault="00D00A4A" w:rsidP="004B0408">
      <w:pPr>
        <w:rPr>
          <w:b/>
          <w:bCs/>
        </w:rPr>
      </w:pPr>
    </w:p>
    <w:p w14:paraId="38E7B978" w14:textId="77777777" w:rsidR="00D00A4A" w:rsidRDefault="00D00A4A" w:rsidP="004B0408">
      <w:pPr>
        <w:rPr>
          <w:b/>
          <w:bCs/>
        </w:rPr>
      </w:pPr>
    </w:p>
    <w:p w14:paraId="62B401E4" w14:textId="46795CBE" w:rsidR="00B02C57" w:rsidRPr="00B02C57" w:rsidRDefault="00B02C57" w:rsidP="004B0408">
      <w:r w:rsidRPr="00B02C57">
        <w:rPr>
          <w:b/>
          <w:bCs/>
        </w:rPr>
        <w:t>Introduction</w:t>
      </w:r>
    </w:p>
    <w:p w14:paraId="2EB972C1" w14:textId="77777777" w:rsidR="00B02C57" w:rsidRPr="00B02C57" w:rsidRDefault="00B02C57" w:rsidP="00B02C57">
      <w:r w:rsidRPr="00B02C57">
        <w:t xml:space="preserve">Online food delivery platforms have become an essential part of urban life, allowing customers to order meals quickly from a wide range of restaurants. Understanding customer </w:t>
      </w:r>
      <w:proofErr w:type="spellStart"/>
      <w:r w:rsidRPr="00B02C57">
        <w:t>behaviour</w:t>
      </w:r>
      <w:proofErr w:type="spellEnd"/>
      <w:r w:rsidRPr="00B02C57">
        <w:t xml:space="preserve">, order patterns, and demand dynamics is crucial for platforms like </w:t>
      </w:r>
      <w:proofErr w:type="spellStart"/>
      <w:r w:rsidRPr="00B02C57">
        <w:t>Foodpanda</w:t>
      </w:r>
      <w:proofErr w:type="spellEnd"/>
      <w:r w:rsidRPr="00B02C57">
        <w:t xml:space="preserve"> to improve customer retention, </w:t>
      </w:r>
      <w:proofErr w:type="spellStart"/>
      <w:r w:rsidRPr="00B02C57">
        <w:t>optimise</w:t>
      </w:r>
      <w:proofErr w:type="spellEnd"/>
      <w:r w:rsidRPr="00B02C57">
        <w:t xml:space="preserve"> operations, and support strategic decision</w:t>
      </w:r>
      <w:r w:rsidRPr="00B02C57">
        <w:noBreakHyphen/>
        <w:t>making. Data</w:t>
      </w:r>
      <w:r w:rsidRPr="00B02C57">
        <w:noBreakHyphen/>
        <w:t>driven insights can help identify valuable customer segments, detect at</w:t>
      </w:r>
      <w:r w:rsidRPr="00B02C57">
        <w:noBreakHyphen/>
        <w:t>risk users, and forecast future demand.</w:t>
      </w:r>
    </w:p>
    <w:p w14:paraId="1B74114F" w14:textId="77777777" w:rsidR="00B02C57" w:rsidRPr="00B02C57" w:rsidRDefault="00B02C57" w:rsidP="00B02C57">
      <w:r w:rsidRPr="00B02C57">
        <w:rPr>
          <w:b/>
          <w:bCs/>
        </w:rPr>
        <w:t>Dataset description</w:t>
      </w:r>
    </w:p>
    <w:p w14:paraId="4EC8CA35" w14:textId="77777777" w:rsidR="00B02C57" w:rsidRDefault="00B02C57" w:rsidP="00B02C57">
      <w:r w:rsidRPr="00B02C57">
        <w:t xml:space="preserve">This project uses a </w:t>
      </w:r>
      <w:proofErr w:type="spellStart"/>
      <w:r w:rsidRPr="00B02C57">
        <w:t>Foodpanda</w:t>
      </w:r>
      <w:proofErr w:type="spellEnd"/>
      <w:r w:rsidRPr="00B02C57">
        <w:noBreakHyphen/>
        <w:t>style transactional dataset containing customer, order, and delivery information. Key variables include customer demographics (gender, age, city), account details (</w:t>
      </w:r>
      <w:proofErr w:type="spellStart"/>
      <w:r w:rsidRPr="00B02C57">
        <w:t>signup_date</w:t>
      </w:r>
      <w:proofErr w:type="spellEnd"/>
      <w:r w:rsidRPr="00B02C57">
        <w:t xml:space="preserve">, </w:t>
      </w:r>
      <w:proofErr w:type="spellStart"/>
      <w:r w:rsidRPr="00B02C57">
        <w:t>loyalty_points</w:t>
      </w:r>
      <w:proofErr w:type="spellEnd"/>
      <w:r w:rsidRPr="00B02C57">
        <w:t>, churned), order information (</w:t>
      </w:r>
      <w:proofErr w:type="spellStart"/>
      <w:r w:rsidRPr="00B02C57">
        <w:t>order_id</w:t>
      </w:r>
      <w:proofErr w:type="spellEnd"/>
      <w:r w:rsidRPr="00B02C57">
        <w:t xml:space="preserve">, </w:t>
      </w:r>
      <w:proofErr w:type="spellStart"/>
      <w:r w:rsidRPr="00B02C57">
        <w:t>order_date</w:t>
      </w:r>
      <w:proofErr w:type="spellEnd"/>
      <w:r w:rsidRPr="00B02C57">
        <w:t xml:space="preserve">, </w:t>
      </w:r>
      <w:proofErr w:type="spellStart"/>
      <w:r w:rsidRPr="00B02C57">
        <w:t>restaurant_name</w:t>
      </w:r>
      <w:proofErr w:type="spellEnd"/>
      <w:r w:rsidRPr="00B02C57">
        <w:t xml:space="preserve">, </w:t>
      </w:r>
      <w:proofErr w:type="spellStart"/>
      <w:r w:rsidRPr="00B02C57">
        <w:t>dish_name</w:t>
      </w:r>
      <w:proofErr w:type="spellEnd"/>
      <w:r w:rsidRPr="00B02C57">
        <w:t xml:space="preserve">, category, quantity, price, </w:t>
      </w:r>
      <w:proofErr w:type="spellStart"/>
      <w:r w:rsidRPr="00B02C57">
        <w:t>payment_method</w:t>
      </w:r>
      <w:proofErr w:type="spellEnd"/>
      <w:r w:rsidRPr="00B02C57">
        <w:t xml:space="preserve">, </w:t>
      </w:r>
      <w:proofErr w:type="spellStart"/>
      <w:r w:rsidRPr="00B02C57">
        <w:t>order_frequency</w:t>
      </w:r>
      <w:proofErr w:type="spellEnd"/>
      <w:r w:rsidRPr="00B02C57">
        <w:t xml:space="preserve">, </w:t>
      </w:r>
      <w:proofErr w:type="spellStart"/>
      <w:r w:rsidRPr="00B02C57">
        <w:t>last_order_date</w:t>
      </w:r>
      <w:proofErr w:type="spellEnd"/>
      <w:r w:rsidRPr="00B02C57">
        <w:t xml:space="preserve">), and service quality indicators (rating, </w:t>
      </w:r>
      <w:proofErr w:type="spellStart"/>
      <w:r w:rsidRPr="00B02C57">
        <w:t>rating_date</w:t>
      </w:r>
      <w:proofErr w:type="spellEnd"/>
      <w:r w:rsidRPr="00B02C57">
        <w:t xml:space="preserve">, </w:t>
      </w:r>
      <w:proofErr w:type="spellStart"/>
      <w:r w:rsidRPr="00B02C57">
        <w:t>delivery_status</w:t>
      </w:r>
      <w:proofErr w:type="spellEnd"/>
      <w:r w:rsidRPr="00B02C57">
        <w:t xml:space="preserve">). From these, additional features such as </w:t>
      </w:r>
      <w:proofErr w:type="spellStart"/>
      <w:r w:rsidRPr="00B02C57">
        <w:t>order_value</w:t>
      </w:r>
      <w:proofErr w:type="spellEnd"/>
      <w:r w:rsidRPr="00B02C57">
        <w:t xml:space="preserve"> and a binary </w:t>
      </w:r>
      <w:proofErr w:type="spellStart"/>
      <w:r w:rsidRPr="00B02C57">
        <w:t>churn_flag</w:t>
      </w:r>
      <w:proofErr w:type="spellEnd"/>
      <w:r w:rsidRPr="00B02C57">
        <w:t xml:space="preserve"> were engineered to support analysis.</w:t>
      </w:r>
    </w:p>
    <w:p w14:paraId="334B0F20" w14:textId="77777777" w:rsidR="001F4415" w:rsidRDefault="001F4415" w:rsidP="00747332"/>
    <w:p w14:paraId="4850577E" w14:textId="77777777" w:rsidR="001F4415" w:rsidRPr="00F46888" w:rsidRDefault="001F4415" w:rsidP="001F4415">
      <w:pPr>
        <w:rPr>
          <w:b/>
          <w:bCs/>
          <w:sz w:val="28"/>
          <w:szCs w:val="28"/>
        </w:rPr>
      </w:pPr>
      <w:r w:rsidRPr="00F46888">
        <w:rPr>
          <w:b/>
          <w:bCs/>
          <w:sz w:val="28"/>
          <w:szCs w:val="28"/>
        </w:rPr>
        <w:t>Data Preparation and Exploration</w:t>
      </w:r>
    </w:p>
    <w:p w14:paraId="175995CE" w14:textId="066CF874" w:rsidR="00F46888" w:rsidRDefault="000C1C42" w:rsidP="00747332">
      <w:r w:rsidRPr="00CF2B84">
        <w:rPr>
          <w:b/>
          <w:bCs/>
        </w:rPr>
        <w:t>Data Cleaning</w:t>
      </w:r>
      <w:r w:rsidR="005856F2">
        <w:rPr>
          <w:b/>
          <w:bCs/>
        </w:rPr>
        <w:t xml:space="preserve"> </w:t>
      </w:r>
      <w:r w:rsidR="00F46888">
        <w:t xml:space="preserve"> </w:t>
      </w:r>
    </w:p>
    <w:p w14:paraId="4EB348C4" w14:textId="36A5F29F" w:rsidR="00747332" w:rsidRDefault="00747332" w:rsidP="00747332">
      <w:r w:rsidRPr="00747332">
        <w:t xml:space="preserve">Inconsistent missing value marks like "?" "Na", "Unknown", and blank spaces were present in the dataset. These were suitably imputed and standardized to </w:t>
      </w:r>
      <w:proofErr w:type="spellStart"/>
      <w:r w:rsidRPr="00747332">
        <w:t>NaN</w:t>
      </w:r>
      <w:proofErr w:type="spellEnd"/>
      <w:r w:rsidRPr="00747332">
        <w:t xml:space="preserve">: </w:t>
      </w:r>
      <w:r w:rsidRPr="00747332">
        <w:br/>
        <w:t>The median, which is resistant to outliers, is used to impute numerical variables.</w:t>
      </w:r>
      <w:r w:rsidRPr="00747332">
        <w:br/>
        <w:t xml:space="preserve">Mode is used to impute categorical data while maintaining the most prevalent category. </w:t>
      </w:r>
      <w:r w:rsidRPr="00747332">
        <w:br/>
        <w:t xml:space="preserve">Duplicates were eliminated. </w:t>
      </w:r>
      <w:r w:rsidRPr="00747332">
        <w:br/>
        <w:t xml:space="preserve">To prevent indexing problems, trailing spaces were removed from column names. </w:t>
      </w:r>
      <w:r w:rsidRPr="00747332">
        <w:br/>
        <w:t>This guaranteed a consistent, clean dataset that could be used for modeling.</w:t>
      </w:r>
    </w:p>
    <w:p w14:paraId="5E95190A" w14:textId="77777777" w:rsidR="00BA31B6" w:rsidRDefault="00BA31B6" w:rsidP="00747332"/>
    <w:p w14:paraId="0E2DA857" w14:textId="77777777" w:rsidR="00BA31B6" w:rsidRDefault="00BA31B6" w:rsidP="00747332"/>
    <w:p w14:paraId="792F9E70" w14:textId="77777777" w:rsidR="001048CE" w:rsidRDefault="001048CE" w:rsidP="00B02C57"/>
    <w:p w14:paraId="3C93D196" w14:textId="1F040B3B" w:rsidR="00ED2001" w:rsidRDefault="005856F2" w:rsidP="00B02C57">
      <w:pPr>
        <w:rPr>
          <w:b/>
          <w:bCs/>
        </w:rPr>
      </w:pPr>
      <w:r w:rsidRPr="00CF2B84">
        <w:rPr>
          <w:b/>
          <w:bCs/>
        </w:rPr>
        <w:lastRenderedPageBreak/>
        <w:t>Dataset Structure</w:t>
      </w:r>
      <w:r>
        <w:rPr>
          <w:b/>
          <w:bCs/>
        </w:rPr>
        <w:t xml:space="preserve"> </w:t>
      </w:r>
    </w:p>
    <w:p w14:paraId="0337F9FE" w14:textId="77777777" w:rsidR="00BA31B6" w:rsidRPr="00BA31B6" w:rsidRDefault="00BA31B6" w:rsidP="00BA31B6">
      <w:r w:rsidRPr="00BA31B6">
        <w:t>After cleaning, there are 6000 entries with no missing values.</w:t>
      </w:r>
      <w:r w:rsidRPr="00BA31B6">
        <w:br/>
        <w:t xml:space="preserve">Quantity, price, order frequency, loyalty points, and rating are the five numerical columns. </w:t>
      </w:r>
      <w:r w:rsidRPr="00BA31B6">
        <w:br/>
        <w:t xml:space="preserve">15 categorized columns: payment method, restaurant information, customer demographics, etc. </w:t>
      </w:r>
      <w:r w:rsidRPr="00BA31B6">
        <w:br/>
        <w:t xml:space="preserve">The eligibility for clustering was confirmed by </w:t>
      </w:r>
      <w:proofErr w:type="gramStart"/>
      <w:r w:rsidRPr="00BA31B6">
        <w:t>describe(</w:t>
      </w:r>
      <w:proofErr w:type="gramEnd"/>
      <w:r w:rsidRPr="00BA31B6">
        <w:t>), which revealed significant variety in numerical variables.</w:t>
      </w:r>
    </w:p>
    <w:p w14:paraId="053A51D7" w14:textId="3482043F" w:rsidR="00BA31B6" w:rsidRPr="00AE2D33" w:rsidRDefault="00AE2D33" w:rsidP="00B02C57">
      <w:pPr>
        <w:rPr>
          <w:b/>
          <w:bCs/>
        </w:rPr>
      </w:pPr>
      <w:r w:rsidRPr="00AE2D33">
        <w:rPr>
          <w:b/>
          <w:bCs/>
        </w:rPr>
        <w:t>Customer Segmentation Using Clustering</w:t>
      </w:r>
    </w:p>
    <w:p w14:paraId="07DC3ADA" w14:textId="77777777" w:rsidR="007D3EC5" w:rsidRPr="007D3EC5" w:rsidRDefault="007D3EC5" w:rsidP="007D3EC5">
      <w:r w:rsidRPr="007D3EC5">
        <w:t xml:space="preserve">Selection of Features </w:t>
      </w:r>
      <w:r w:rsidRPr="007D3EC5">
        <w:br/>
        <w:t>The behavioral characteristics listed below were chosen for clustering:</w:t>
      </w:r>
      <w:r w:rsidRPr="007D3EC5">
        <w:br/>
        <w:t xml:space="preserve">quantity, price, order frequency, loyalty points, and rating </w:t>
      </w:r>
      <w:r w:rsidRPr="007D3EC5">
        <w:br/>
        <w:t>These characteristics are crucial for consumer segmentation since they record purchase intensity, spending patterns, engagement, and satisfaction.</w:t>
      </w:r>
    </w:p>
    <w:p w14:paraId="56D15F65" w14:textId="16A3143F" w:rsidR="00ED2001" w:rsidRDefault="008F360C" w:rsidP="00B02C57">
      <w:proofErr w:type="spellStart"/>
      <w:r w:rsidRPr="00CF2B84">
        <w:rPr>
          <w:b/>
          <w:bCs/>
        </w:rPr>
        <w:t>Standardisation</w:t>
      </w:r>
      <w:proofErr w:type="spellEnd"/>
    </w:p>
    <w:p w14:paraId="6289800D" w14:textId="77777777" w:rsidR="009930E3" w:rsidRDefault="009930E3" w:rsidP="009930E3">
      <w:r w:rsidRPr="009930E3">
        <w:t xml:space="preserve">Distance measures are essential to clustering algorithms. </w:t>
      </w:r>
      <w:proofErr w:type="gramStart"/>
      <w:r w:rsidRPr="009930E3">
        <w:t>In order to</w:t>
      </w:r>
      <w:proofErr w:type="gramEnd"/>
      <w:r w:rsidRPr="009930E3">
        <w:t xml:space="preserve"> avoid the dominance of high magnitude factors (like price), all attributes were standardized using: </w:t>
      </w:r>
      <w:r w:rsidRPr="009930E3">
        <w:br/>
      </w:r>
      <w:proofErr w:type="spellStart"/>
      <w:proofErr w:type="gramStart"/>
      <w:r w:rsidRPr="009930E3">
        <w:t>StandardScaler</w:t>
      </w:r>
      <w:proofErr w:type="spellEnd"/>
      <w:r w:rsidRPr="009930E3">
        <w:t>(</w:t>
      </w:r>
      <w:proofErr w:type="gramEnd"/>
      <w:r w:rsidRPr="009930E3">
        <w:t xml:space="preserve">) in Python </w:t>
      </w:r>
      <w:r w:rsidRPr="009930E3">
        <w:br/>
        <w:t>This guarantees that every feature contributes equally.</w:t>
      </w:r>
    </w:p>
    <w:p w14:paraId="735B7645" w14:textId="465A1BB5" w:rsidR="000E0201" w:rsidRPr="001048CE" w:rsidRDefault="000B33D2" w:rsidP="009930E3">
      <w:pPr>
        <w:rPr>
          <w:b/>
          <w:bCs/>
        </w:rPr>
      </w:pPr>
      <w:r w:rsidRPr="000B33D2">
        <w:rPr>
          <w:b/>
          <w:bCs/>
        </w:rPr>
        <w:t>Compare K values, DBI, and Silhouette Score to the number of clusters.</w:t>
      </w:r>
    </w:p>
    <w:p w14:paraId="39995D52" w14:textId="0364059A" w:rsidR="00ED2001" w:rsidRDefault="000E0201" w:rsidP="00B02C57">
      <w:r w:rsidRPr="000E0201">
        <w:t xml:space="preserve"> To guarantee equal contribution to Euclidean distances, which is crucial for K-Means, the code standardizes all features using </w:t>
      </w:r>
      <w:proofErr w:type="spellStart"/>
      <w:r w:rsidRPr="000E0201">
        <w:t>StandardScaler</w:t>
      </w:r>
      <w:proofErr w:type="spellEnd"/>
      <w:r w:rsidRPr="000E0201">
        <w:t xml:space="preserve">. The cluster counts </w:t>
      </w:r>
      <w:r w:rsidRPr="000E0201">
        <w:rPr>
          <w:rFonts w:ascii="Cambria Math" w:hAnsi="Cambria Math" w:cs="Cambria Math"/>
        </w:rPr>
        <w:t>𝑘</w:t>
      </w:r>
      <w:r w:rsidRPr="000E0201">
        <w:t xml:space="preserve">=2–9 </w:t>
      </w:r>
      <w:proofErr w:type="gramStart"/>
      <w:r w:rsidRPr="000E0201">
        <w:t>are</w:t>
      </w:r>
      <w:proofErr w:type="gramEnd"/>
      <w:r w:rsidRPr="000E0201">
        <w:t xml:space="preserve"> then assessed by repeatedly fitting K-Means and calculating two internal validity metrics: the Davies–Bouldin Index (lower implies more compact, well-separated clusters) and the Silhouette Score (higher indicates better cohesion and separation). The figures demonstrate that DBI continuously declines as </w:t>
      </w:r>
      <w:r w:rsidRPr="000E0201">
        <w:rPr>
          <w:rFonts w:ascii="Cambria Math" w:hAnsi="Cambria Math" w:cs="Cambria Math"/>
        </w:rPr>
        <w:t>𝑘</w:t>
      </w:r>
      <w:r w:rsidRPr="000E0201">
        <w:t xml:space="preserve"> grows, showing increased compactness with additional clusters, whereas Silhouette values stay low (≈0.14–0.19), demonstrating weak natural separation. These findings collectively suggest that there is no strong </w:t>
      </w:r>
      <w:proofErr w:type="gramStart"/>
      <w:r w:rsidRPr="000E0201">
        <w:t xml:space="preserve">ideal </w:t>
      </w:r>
      <w:r w:rsidRPr="000E0201">
        <w:rPr>
          <w:rFonts w:ascii="Cambria Math" w:hAnsi="Cambria Math" w:cs="Cambria Math"/>
        </w:rPr>
        <w:t>𝑘</w:t>
      </w:r>
      <w:proofErr w:type="gramEnd"/>
      <w:r w:rsidRPr="000E0201">
        <w:t xml:space="preserve">, although a </w:t>
      </w:r>
      <w:proofErr w:type="gramStart"/>
      <w:r w:rsidRPr="000E0201">
        <w:t xml:space="preserve">higher </w:t>
      </w:r>
      <w:r w:rsidRPr="000E0201">
        <w:rPr>
          <w:rFonts w:ascii="Cambria Math" w:hAnsi="Cambria Math" w:cs="Cambria Math"/>
        </w:rPr>
        <w:t>𝑘</w:t>
      </w:r>
      <w:proofErr w:type="gramEnd"/>
      <w:r w:rsidRPr="000E0201">
        <w:t xml:space="preserve"> offers somewhat better structure, necessitating a trade-off between practical interpretability and statistical improvement.</w:t>
      </w:r>
    </w:p>
    <w:p w14:paraId="04916DE8" w14:textId="4F0D5F4C" w:rsidR="00ED2001" w:rsidRDefault="001048CE" w:rsidP="00B02C57">
      <w:r>
        <w:rPr>
          <w:noProof/>
        </w:rPr>
        <w:drawing>
          <wp:inline distT="0" distB="0" distL="0" distR="0" wp14:anchorId="44F1AF8E" wp14:editId="22D3D148">
            <wp:extent cx="2980955" cy="1736979"/>
            <wp:effectExtent l="0" t="0" r="0" b="0"/>
            <wp:docPr id="1740409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009805" cy="1753790"/>
                    </a:xfrm>
                    <a:prstGeom prst="rect">
                      <a:avLst/>
                    </a:prstGeom>
                    <a:noFill/>
                    <a:ln>
                      <a:noFill/>
                    </a:ln>
                  </pic:spPr>
                </pic:pic>
              </a:graphicData>
            </a:graphic>
          </wp:inline>
        </w:drawing>
      </w:r>
    </w:p>
    <w:p w14:paraId="23C31269" w14:textId="483265BF" w:rsidR="00966FC2" w:rsidRPr="00062F82" w:rsidRDefault="00062F82" w:rsidP="00B02C57">
      <w:pPr>
        <w:rPr>
          <w:b/>
          <w:bCs/>
        </w:rPr>
      </w:pPr>
      <w:r w:rsidRPr="00062F82">
        <w:rPr>
          <w:b/>
          <w:bCs/>
        </w:rPr>
        <w:lastRenderedPageBreak/>
        <w:t>Evaluate Silhouette &amp; DBI vs K and Compare models</w:t>
      </w:r>
    </w:p>
    <w:p w14:paraId="43B38692" w14:textId="4EE46B91" w:rsidR="00B80B58" w:rsidRDefault="00FE07C5" w:rsidP="00B02C57">
      <w:r w:rsidRPr="00FE07C5">
        <w:t xml:space="preserve"> Davies-Bouldin Index (lower is better) and Silhouette Score (higher is better) to assess cluster quality across a range </w:t>
      </w:r>
      <w:proofErr w:type="gramStart"/>
      <w:r w:rsidRPr="00FE07C5">
        <w:t xml:space="preserve">of </w:t>
      </w:r>
      <w:r w:rsidRPr="00FE07C5">
        <w:rPr>
          <w:rFonts w:ascii="Cambria Math" w:hAnsi="Cambria Math" w:cs="Cambria Math"/>
        </w:rPr>
        <w:t>𝑘</w:t>
      </w:r>
      <w:proofErr w:type="gramEnd"/>
      <w:r w:rsidRPr="00FE07C5">
        <w:t xml:space="preserve"> values. Plotting both metrics aids in finding a </w:t>
      </w:r>
      <w:proofErr w:type="gramStart"/>
      <w:r w:rsidRPr="00FE07C5">
        <w:t xml:space="preserve">balanced </w:t>
      </w:r>
      <w:r w:rsidRPr="00FE07C5">
        <w:rPr>
          <w:rFonts w:ascii="Cambria Math" w:hAnsi="Cambria Math" w:cs="Cambria Math"/>
        </w:rPr>
        <w:t>𝑘</w:t>
      </w:r>
      <w:proofErr w:type="gramEnd"/>
      <w:r w:rsidRPr="00FE07C5">
        <w:t xml:space="preserve">, </w:t>
      </w:r>
      <w:proofErr w:type="gramStart"/>
      <w:r w:rsidRPr="00FE07C5">
        <w:t xml:space="preserve">and </w:t>
      </w:r>
      <w:r w:rsidRPr="00FE07C5">
        <w:rPr>
          <w:rFonts w:ascii="Cambria Math" w:hAnsi="Cambria Math" w:cs="Cambria Math"/>
        </w:rPr>
        <w:t>𝑘</w:t>
      </w:r>
      <w:proofErr w:type="gramEnd"/>
      <w:r w:rsidRPr="00FE07C5">
        <w:t xml:space="preserve"> = 4 is chosen since it enhances structure without unduly fragmenting the data. To enable a fair comparison, the </w:t>
      </w:r>
      <w:proofErr w:type="gramStart"/>
      <w:r w:rsidRPr="00FE07C5">
        <w:t xml:space="preserve">same </w:t>
      </w:r>
      <w:r w:rsidRPr="00FE07C5">
        <w:rPr>
          <w:rFonts w:ascii="Cambria Math" w:hAnsi="Cambria Math" w:cs="Cambria Math"/>
        </w:rPr>
        <w:t>𝑘</w:t>
      </w:r>
      <w:proofErr w:type="gramEnd"/>
      <w:r w:rsidRPr="00FE07C5">
        <w:t xml:space="preserve"> is then used to fit K-Means and Agglomerative clustering. A reevaluation of their performance reveals that Agglomerative performs significantly better with a Silhouette of 0.680 and DBI of 1.271, while K-Means achieves a Silhouette of 0.418 and DBI of 1.840. These findings show that agglomerative clustering creates more compact, well-separated groups, offering a more robust and comprehensible segmentation for additional study.</w:t>
      </w:r>
    </w:p>
    <w:p w14:paraId="5DE88D86" w14:textId="1D95948E" w:rsidR="00FE07C5" w:rsidRDefault="00966FC2" w:rsidP="00B02C57">
      <w:r>
        <w:rPr>
          <w:noProof/>
        </w:rPr>
        <w:drawing>
          <wp:inline distT="0" distB="0" distL="0" distR="0" wp14:anchorId="3A77AFA9" wp14:editId="67848A2C">
            <wp:extent cx="2910890" cy="2222963"/>
            <wp:effectExtent l="0" t="0" r="3810" b="6350"/>
            <wp:docPr id="5398590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939613" cy="2244898"/>
                    </a:xfrm>
                    <a:prstGeom prst="rect">
                      <a:avLst/>
                    </a:prstGeom>
                    <a:noFill/>
                    <a:ln>
                      <a:noFill/>
                    </a:ln>
                  </pic:spPr>
                </pic:pic>
              </a:graphicData>
            </a:graphic>
          </wp:inline>
        </w:drawing>
      </w:r>
    </w:p>
    <w:p w14:paraId="04CA7648" w14:textId="77777777" w:rsidR="007E7C1B" w:rsidRDefault="007E7C1B" w:rsidP="007E7C1B"/>
    <w:p w14:paraId="34F42BAA" w14:textId="3C321C78" w:rsidR="007E7C1B" w:rsidRPr="0034495C" w:rsidRDefault="0034495C" w:rsidP="007E7C1B">
      <w:pPr>
        <w:rPr>
          <w:b/>
          <w:bCs/>
        </w:rPr>
      </w:pPr>
      <w:proofErr w:type="spellStart"/>
      <w:r w:rsidRPr="0034495C">
        <w:rPr>
          <w:b/>
          <w:bCs/>
        </w:rPr>
        <w:t>Aplaining</w:t>
      </w:r>
      <w:proofErr w:type="spellEnd"/>
      <w:r w:rsidR="00C662FD" w:rsidRPr="0034495C">
        <w:rPr>
          <w:b/>
          <w:bCs/>
        </w:rPr>
        <w:t xml:space="preserve"> </w:t>
      </w:r>
      <w:r w:rsidRPr="0034495C">
        <w:rPr>
          <w:b/>
          <w:bCs/>
        </w:rPr>
        <w:t>PCA</w:t>
      </w:r>
    </w:p>
    <w:p w14:paraId="2FDEF0CE" w14:textId="6628593B" w:rsidR="007E7C1B" w:rsidRDefault="007E7C1B" w:rsidP="007E7C1B">
      <w:r w:rsidRPr="007E7C1B">
        <w:t xml:space="preserve">Examine and evaluate the K-Means clustering findings. PCA is applied to the standardized dataset in the first section. Many correlated variables are reduced by PCA to two main components that account for </w:t>
      </w:r>
      <w:proofErr w:type="gramStart"/>
      <w:r w:rsidRPr="007E7C1B">
        <w:t>the majority of</w:t>
      </w:r>
      <w:proofErr w:type="gramEnd"/>
      <w:r w:rsidRPr="007E7C1B">
        <w:t xml:space="preserve"> the variance. Every observation is projected onto a two-dimensional space using </w:t>
      </w:r>
      <w:proofErr w:type="spellStart"/>
      <w:r w:rsidRPr="007E7C1B">
        <w:t>fit_transform</w:t>
      </w:r>
      <w:proofErr w:type="spellEnd"/>
      <w:r w:rsidRPr="007E7C1B">
        <w:t xml:space="preserve"> and PCA(</w:t>
      </w:r>
      <w:proofErr w:type="spellStart"/>
      <w:r w:rsidRPr="007E7C1B">
        <w:t>n_components</w:t>
      </w:r>
      <w:proofErr w:type="spellEnd"/>
      <w:r w:rsidRPr="007E7C1B">
        <w:t xml:space="preserve">=2). You may visualize these coordinates by adding pca1 and pca2 to the </w:t>
      </w:r>
      <w:proofErr w:type="spellStart"/>
      <w:r w:rsidRPr="007E7C1B">
        <w:t>dataframe</w:t>
      </w:r>
      <w:proofErr w:type="spellEnd"/>
      <w:r w:rsidRPr="007E7C1B">
        <w:t>. The scatterplot allows for the visual evaluation of separation, compactness, and overlap by using color to represent each K-Means cluster. Clusters may indicate substantial structure if they form discrete color groups; if they heavily overlap, the clustering may be weaker. Without dimensionality reduction, high-dimensional data cannot be visually comprehended, which makes this step crucial.</w:t>
      </w:r>
    </w:p>
    <w:p w14:paraId="05DAD354" w14:textId="376D8831" w:rsidR="004B0408" w:rsidRDefault="00B57FC9" w:rsidP="00B02C57">
      <w:r w:rsidRPr="00B57FC9">
        <w:rPr>
          <w:noProof/>
        </w:rPr>
        <w:lastRenderedPageBreak/>
        <w:drawing>
          <wp:inline distT="0" distB="0" distL="0" distR="0" wp14:anchorId="46171578" wp14:editId="479D1783">
            <wp:extent cx="3341970" cy="2314054"/>
            <wp:effectExtent l="0" t="0" r="0" b="0"/>
            <wp:docPr id="715426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426574" name=""/>
                    <pic:cNvPicPr/>
                  </pic:nvPicPr>
                  <pic:blipFill>
                    <a:blip r:embed="rId7"/>
                    <a:stretch>
                      <a:fillRect/>
                    </a:stretch>
                  </pic:blipFill>
                  <pic:spPr>
                    <a:xfrm>
                      <a:off x="0" y="0"/>
                      <a:ext cx="3400316" cy="2354454"/>
                    </a:xfrm>
                    <a:prstGeom prst="rect">
                      <a:avLst/>
                    </a:prstGeom>
                  </pic:spPr>
                </pic:pic>
              </a:graphicData>
            </a:graphic>
          </wp:inline>
        </w:drawing>
      </w:r>
    </w:p>
    <w:p w14:paraId="03DE7E27" w14:textId="3DE57987" w:rsidR="00936EA0" w:rsidRDefault="0034495C" w:rsidP="00B02C57">
      <w:r>
        <w:t>C</w:t>
      </w:r>
      <w:r w:rsidR="00C662FD" w:rsidRPr="00C662FD">
        <w:t>reates cluster profiles by calculating the average of each cluster's important behavioral characteristics, including quantity, price, order frequency, loyalty points, and rating. The differences between clusters on a standardized scale can be seen by plotting the transposed table as a bar chart. For instance, one cluster can have low order frequency but high loyalty points, while another might make frequent purchases but have poor product ratings.</w:t>
      </w:r>
    </w:p>
    <w:p w14:paraId="483F2CE7" w14:textId="5FCB515B" w:rsidR="004B0408" w:rsidRDefault="00F91DA8" w:rsidP="00B02C57">
      <w:r w:rsidRPr="00F91DA8">
        <w:rPr>
          <w:noProof/>
        </w:rPr>
        <w:drawing>
          <wp:inline distT="0" distB="0" distL="0" distR="0" wp14:anchorId="15FCF750" wp14:editId="0B4DFBC9">
            <wp:extent cx="3605360" cy="2218540"/>
            <wp:effectExtent l="0" t="0" r="0" b="0"/>
            <wp:docPr id="1214261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261283" name=""/>
                    <pic:cNvPicPr/>
                  </pic:nvPicPr>
                  <pic:blipFill>
                    <a:blip r:embed="rId8"/>
                    <a:stretch>
                      <a:fillRect/>
                    </a:stretch>
                  </pic:blipFill>
                  <pic:spPr>
                    <a:xfrm>
                      <a:off x="0" y="0"/>
                      <a:ext cx="3650005" cy="2246012"/>
                    </a:xfrm>
                    <a:prstGeom prst="rect">
                      <a:avLst/>
                    </a:prstGeom>
                  </pic:spPr>
                </pic:pic>
              </a:graphicData>
            </a:graphic>
          </wp:inline>
        </w:drawing>
      </w:r>
    </w:p>
    <w:p w14:paraId="60D15E25" w14:textId="0E80CCAC" w:rsidR="00966FC2" w:rsidRPr="004B0611" w:rsidRDefault="004B0611" w:rsidP="00B02C57">
      <w:pPr>
        <w:rPr>
          <w:b/>
          <w:bCs/>
        </w:rPr>
      </w:pPr>
      <w:r w:rsidRPr="004B0611">
        <w:rPr>
          <w:b/>
          <w:bCs/>
        </w:rPr>
        <w:t>Time Series Preprocessing and ADF Stationarity Results</w:t>
      </w:r>
    </w:p>
    <w:p w14:paraId="46724F21" w14:textId="77777777" w:rsidR="000D3511" w:rsidRPr="000D3511" w:rsidRDefault="00FC4769" w:rsidP="000D3511">
      <w:r>
        <w:t>B</w:t>
      </w:r>
      <w:r w:rsidRPr="00FC4769">
        <w:t xml:space="preserve">y utilizing </w:t>
      </w:r>
      <w:proofErr w:type="spellStart"/>
      <w:r w:rsidRPr="00FC4769">
        <w:t>pd.to_</w:t>
      </w:r>
      <w:proofErr w:type="gramStart"/>
      <w:r w:rsidRPr="00FC4769">
        <w:t>datetime</w:t>
      </w:r>
      <w:proofErr w:type="spellEnd"/>
      <w:r w:rsidRPr="00FC4769">
        <w:t>(</w:t>
      </w:r>
      <w:proofErr w:type="gramEnd"/>
      <w:r w:rsidRPr="00FC4769">
        <w:t xml:space="preserve">) to convert the </w:t>
      </w:r>
      <w:proofErr w:type="spellStart"/>
      <w:r w:rsidRPr="00FC4769">
        <w:t>order_date</w:t>
      </w:r>
      <w:proofErr w:type="spellEnd"/>
      <w:r w:rsidRPr="00FC4769">
        <w:t xml:space="preserve"> column into a datetime format, forcing incorrect entries to </w:t>
      </w:r>
      <w:proofErr w:type="spellStart"/>
      <w:r w:rsidRPr="00FC4769">
        <w:t>NaT.</w:t>
      </w:r>
      <w:proofErr w:type="spellEnd"/>
      <w:r w:rsidRPr="00FC4769">
        <w:t xml:space="preserve"> This guarantees that following time-series operations work properly and that the dataset may be indexed chronologically. To preserve a tidy temporal structure, rows with invalid dates are then eliminated. Price and quantity are multiplied to form a revenue variable, which is a numerical measure that can be aggregated and analyzed.</w:t>
      </w:r>
      <w:r w:rsidR="00162C6E">
        <w:t xml:space="preserve"> </w:t>
      </w:r>
      <w:r w:rsidR="00162C6E" w:rsidRPr="00162C6E">
        <w:t xml:space="preserve">The daily revenue is calculated by adding up the revenue for each day after grouping transactions by </w:t>
      </w:r>
      <w:proofErr w:type="spellStart"/>
      <w:r w:rsidR="00162C6E" w:rsidRPr="00162C6E">
        <w:t>order_date</w:t>
      </w:r>
      <w:proofErr w:type="spellEnd"/>
      <w:r w:rsidR="00162C6E" w:rsidRPr="00162C6E">
        <w:t xml:space="preserve">. The resultant series is given a daily frequency </w:t>
      </w:r>
      <w:proofErr w:type="spellStart"/>
      <w:proofErr w:type="gramStart"/>
      <w:r w:rsidR="00162C6E" w:rsidRPr="00162C6E">
        <w:t>using.asfreq</w:t>
      </w:r>
      <w:proofErr w:type="spellEnd"/>
      <w:proofErr w:type="gramEnd"/>
      <w:r w:rsidR="00162C6E" w:rsidRPr="00162C6E">
        <w:t xml:space="preserve">('D') and sorted chronologically. This step guarantees that all calendar days, including those with no orders logged, are included in the time index. Time-series models that depend on uniformly spaced observations and regular lag intervals must explicitly reflect missing days. With revenue numbers ranging from almost zero to roughly 60,000, the depicted time series exhibits significant daily volatility. </w:t>
      </w:r>
      <w:r w:rsidR="00162C6E" w:rsidRPr="00162C6E">
        <w:lastRenderedPageBreak/>
        <w:t xml:space="preserve">There is no discernible long-term upward or negative trend, and the swings seem erratic. Although this visual examination raises the potential of stationarity, a rigorous statistical test is necessary to verify </w:t>
      </w:r>
      <w:proofErr w:type="spellStart"/>
      <w:proofErr w:type="gramStart"/>
      <w:r w:rsidR="00162C6E" w:rsidRPr="00162C6E">
        <w:t>it.</w:t>
      </w:r>
      <w:r w:rsidR="000D3511" w:rsidRPr="000D3511">
        <w:t>The</w:t>
      </w:r>
      <w:proofErr w:type="spellEnd"/>
      <w:proofErr w:type="gramEnd"/>
      <w:r w:rsidR="000D3511" w:rsidRPr="000D3511">
        <w:t xml:space="preserve"> daily income series is subjected to the Augmented Dickey–Fuller (ADF) test (after missing values are eliminated). The test yields a p-value of 0.000 and an ADF statistic of −26.48. The unit root null hypothesis is rejected since the </w:t>
      </w:r>
      <w:proofErr w:type="gramStart"/>
      <w:r w:rsidR="000D3511" w:rsidRPr="000D3511">
        <w:t>statistic is</w:t>
      </w:r>
      <w:proofErr w:type="gramEnd"/>
      <w:r w:rsidR="000D3511" w:rsidRPr="000D3511">
        <w:t xml:space="preserve"> significantly below the 1%, 5%, and 10% critical levels. This shows that there is no need for </w:t>
      </w:r>
      <w:proofErr w:type="gramStart"/>
      <w:r w:rsidR="000D3511" w:rsidRPr="000D3511">
        <w:t>differencing</w:t>
      </w:r>
      <w:proofErr w:type="gramEnd"/>
      <w:r w:rsidR="000D3511" w:rsidRPr="000D3511">
        <w:t xml:space="preserve"> because the daily income series is stationary. Because the series already meets the stationarity criteria, these results support the use of ARIMA models </w:t>
      </w:r>
      <w:proofErr w:type="gramStart"/>
      <w:r w:rsidR="000D3511" w:rsidRPr="000D3511">
        <w:t xml:space="preserve">with </w:t>
      </w:r>
      <w:r w:rsidR="000D3511" w:rsidRPr="000D3511">
        <w:rPr>
          <w:rFonts w:ascii="Cambria Math" w:hAnsi="Cambria Math" w:cs="Cambria Math"/>
        </w:rPr>
        <w:t>𝑑</w:t>
      </w:r>
      <w:proofErr w:type="gramEnd"/>
      <w:r w:rsidR="000D3511" w:rsidRPr="000D3511">
        <w:t xml:space="preserve"> = 0. Together, the statistical test and preprocessing procedures verify that the dataset is appropriately organized for further forecasting.</w:t>
      </w:r>
    </w:p>
    <w:p w14:paraId="294CE27D" w14:textId="300A5423" w:rsidR="00162C6E" w:rsidRPr="00162C6E" w:rsidRDefault="00160BAD" w:rsidP="00160BAD">
      <w:r w:rsidRPr="00160BAD">
        <w:rPr>
          <w:noProof/>
        </w:rPr>
        <w:drawing>
          <wp:inline distT="0" distB="0" distL="0" distR="0" wp14:anchorId="174A7CF0" wp14:editId="520D996B">
            <wp:extent cx="4690361" cy="2001421"/>
            <wp:effectExtent l="0" t="0" r="0" b="0"/>
            <wp:docPr id="670473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473584" name=""/>
                    <pic:cNvPicPr/>
                  </pic:nvPicPr>
                  <pic:blipFill>
                    <a:blip r:embed="rId9"/>
                    <a:stretch>
                      <a:fillRect/>
                    </a:stretch>
                  </pic:blipFill>
                  <pic:spPr>
                    <a:xfrm>
                      <a:off x="0" y="0"/>
                      <a:ext cx="4709569" cy="2009617"/>
                    </a:xfrm>
                    <a:prstGeom prst="rect">
                      <a:avLst/>
                    </a:prstGeom>
                  </pic:spPr>
                </pic:pic>
              </a:graphicData>
            </a:graphic>
          </wp:inline>
        </w:drawing>
      </w:r>
    </w:p>
    <w:p w14:paraId="434879A6" w14:textId="77777777" w:rsidR="00A8467A" w:rsidRDefault="00A8467A" w:rsidP="00A8467A"/>
    <w:p w14:paraId="3F281C78" w14:textId="445D1DAE" w:rsidR="00A8467A" w:rsidRPr="00A8467A" w:rsidRDefault="00A8467A" w:rsidP="00A8467A">
      <w:proofErr w:type="gramStart"/>
      <w:r w:rsidRPr="00A8467A">
        <w:t>Differencing</w:t>
      </w:r>
      <w:proofErr w:type="gramEnd"/>
      <w:r w:rsidRPr="00A8467A">
        <w:t xml:space="preserve"> eliminates level shifts and isolates short-term variations, as evidenced by the differenced daily income series' narrow fluctuations around zero. The graphic displays high-frequency variability, with abrupt increases or decreases in revenue from one day to the next indicated by sharp positive and negative spikes. The </w:t>
      </w:r>
      <w:proofErr w:type="gramStart"/>
      <w:r w:rsidRPr="00A8467A">
        <w:t>differenced</w:t>
      </w:r>
      <w:proofErr w:type="gramEnd"/>
      <w:r w:rsidRPr="00A8467A">
        <w:t xml:space="preserve"> series may be mean-stable if there are no discernible trends or drift. </w:t>
      </w:r>
      <w:proofErr w:type="gramStart"/>
      <w:r w:rsidRPr="00A8467A">
        <w:t>Differencing</w:t>
      </w:r>
      <w:proofErr w:type="gramEnd"/>
      <w:r w:rsidRPr="00A8467A">
        <w:t xml:space="preserve"> is usually employed to attain stationarity, but since the original series was already stationary, it primarily functions as a diagnostic in this instance.</w:t>
      </w:r>
    </w:p>
    <w:p w14:paraId="6A0925CE" w14:textId="23B90D35" w:rsidR="00FC4769" w:rsidRPr="00FC4769" w:rsidRDefault="005A1044" w:rsidP="00FC4769">
      <w:r w:rsidRPr="005A1044">
        <w:rPr>
          <w:noProof/>
        </w:rPr>
        <w:drawing>
          <wp:inline distT="0" distB="0" distL="0" distR="0" wp14:anchorId="0D3C63A7" wp14:editId="4C7C97F5">
            <wp:extent cx="5014556" cy="2023503"/>
            <wp:effectExtent l="0" t="0" r="0" b="0"/>
            <wp:docPr id="610581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581701" name=""/>
                    <pic:cNvPicPr/>
                  </pic:nvPicPr>
                  <pic:blipFill>
                    <a:blip r:embed="rId10"/>
                    <a:stretch>
                      <a:fillRect/>
                    </a:stretch>
                  </pic:blipFill>
                  <pic:spPr>
                    <a:xfrm>
                      <a:off x="0" y="0"/>
                      <a:ext cx="5039035" cy="2033381"/>
                    </a:xfrm>
                    <a:prstGeom prst="rect">
                      <a:avLst/>
                    </a:prstGeom>
                  </pic:spPr>
                </pic:pic>
              </a:graphicData>
            </a:graphic>
          </wp:inline>
        </w:drawing>
      </w:r>
    </w:p>
    <w:p w14:paraId="677B5912" w14:textId="77777777" w:rsidR="00966FC2" w:rsidRDefault="00966FC2" w:rsidP="00B02C57"/>
    <w:p w14:paraId="7B8EF8ED" w14:textId="227B8C47" w:rsidR="00966FC2" w:rsidRPr="00DF31CB" w:rsidRDefault="00DF31CB" w:rsidP="00B02C57">
      <w:pPr>
        <w:rPr>
          <w:b/>
          <w:bCs/>
        </w:rPr>
      </w:pPr>
      <w:r w:rsidRPr="00DF31CB">
        <w:rPr>
          <w:b/>
          <w:bCs/>
        </w:rPr>
        <w:lastRenderedPageBreak/>
        <w:t>STATIONARITY TEST</w:t>
      </w:r>
    </w:p>
    <w:p w14:paraId="4F7E5708" w14:textId="77777777" w:rsidR="008A4840" w:rsidRPr="008A4840" w:rsidRDefault="008A4840" w:rsidP="008A4840">
      <w:r w:rsidRPr="008A4840">
        <w:t>The daily income series is subjected to the Augmented Dickey–Fuller (ADF) test to evaluate stationarity, which is a need for ARIMA modeling. The series is stable, as demonstrated by the ADF statistic of –26.48 with a p-value of 0.0, which strongly refutes the null hypothesis of a unit root. Appropriate ARIMA parameters can be found using the ACF and PACF graphs of the differenced revenue that follow. The PACF exhibits a strong spike at lag 1 followed by a sharp decline, but the ACF shows very little meaningful autocorrelation after lag 1. An ARIMA model with d = 0 and a tiny AR or MA component is usually supported by this pattern, which indicates a low-order autoregressive structure.</w:t>
      </w:r>
    </w:p>
    <w:p w14:paraId="45C91452" w14:textId="77777777" w:rsidR="00966FC2" w:rsidRDefault="00966FC2" w:rsidP="00B02C57"/>
    <w:p w14:paraId="432934C8" w14:textId="1582FEB2" w:rsidR="00913FEE" w:rsidRPr="00913FEE" w:rsidRDefault="00176398" w:rsidP="00913FEE">
      <w:pPr>
        <w:rPr>
          <w:b/>
          <w:bCs/>
        </w:rPr>
      </w:pPr>
      <w:r w:rsidRPr="00176398">
        <w:rPr>
          <w:b/>
          <w:bCs/>
        </w:rPr>
        <w:t>TRAIN-TEST SPLIT</w:t>
      </w:r>
      <w:r w:rsidR="00913FEE">
        <w:rPr>
          <w:b/>
          <w:bCs/>
        </w:rPr>
        <w:t xml:space="preserve">: </w:t>
      </w:r>
      <w:r w:rsidR="00913FEE" w:rsidRPr="00913FEE">
        <w:rPr>
          <w:b/>
          <w:bCs/>
        </w:rPr>
        <w:t>Daily revenue forecasts using ARIMA modeling.</w:t>
      </w:r>
    </w:p>
    <w:p w14:paraId="52FF9450" w14:textId="77777777" w:rsidR="00D65615" w:rsidRPr="00D65615" w:rsidRDefault="002E2EC5" w:rsidP="00D65615">
      <w:r w:rsidRPr="002E2EC5">
        <w:t xml:space="preserve">For time-series analysis, the dataset must first be divided chronologically into an 80% training set and a 20% test set because shuffling would eliminate temporal dependencies. </w:t>
      </w:r>
      <w:proofErr w:type="gramStart"/>
      <w:r w:rsidRPr="002E2EC5">
        <w:t>In order to</w:t>
      </w:r>
      <w:proofErr w:type="gramEnd"/>
      <w:r w:rsidRPr="002E2EC5">
        <w:t xml:space="preserve"> guarantee that the ARIMA model receives a consistent, gap-free </w:t>
      </w:r>
      <w:proofErr w:type="spellStart"/>
      <w:r w:rsidRPr="002E2EC5">
        <w:t>DatetimeIndex</w:t>
      </w:r>
      <w:proofErr w:type="spellEnd"/>
      <w:r w:rsidRPr="002E2EC5">
        <w:t xml:space="preserve">, the frequency is therefore imposed as daily. The differencing order is appropriately chosen to d = 0 since the Augmented Dickey-Fuller test already verified strong stationarity (p-value = 0.0). The ACF and PACF patterns, which exhibit weak but non-random short-lag autocorrelation and suggest that a low-order ARMA structure is suitable, support the </w:t>
      </w:r>
      <w:proofErr w:type="gramStart"/>
      <w:r w:rsidRPr="002E2EC5">
        <w:t>ARIMA(</w:t>
      </w:r>
      <w:proofErr w:type="gramEnd"/>
      <w:r w:rsidRPr="002E2EC5">
        <w:t>1,0,1) specification.</w:t>
      </w:r>
      <w:r w:rsidR="00D65615">
        <w:t xml:space="preserve"> </w:t>
      </w:r>
      <w:r w:rsidR="00D65615" w:rsidRPr="00D65615">
        <w:t xml:space="preserve">The steady average revenue level is reflected in the model summary's highly significant constant term. The series appears to have little autoregressive or moving-average structure, though, as both the </w:t>
      </w:r>
      <w:proofErr w:type="gramStart"/>
      <w:r w:rsidR="00D65615" w:rsidRPr="00D65615">
        <w:t>AR(</w:t>
      </w:r>
      <w:proofErr w:type="gramEnd"/>
      <w:r w:rsidR="00D65615" w:rsidRPr="00D65615">
        <w:t xml:space="preserve">1) and </w:t>
      </w:r>
      <w:proofErr w:type="gramStart"/>
      <w:r w:rsidR="00D65615" w:rsidRPr="00D65615">
        <w:t>MA(</w:t>
      </w:r>
      <w:proofErr w:type="gramEnd"/>
      <w:r w:rsidR="00D65615" w:rsidRPr="00D65615">
        <w:t xml:space="preserve">1) coefficients are statistically negligible. This is consistent with the rapid decay of correlations observed in the earlier ACF/PACF data. Rather than model instability, the high sigma² value </w:t>
      </w:r>
      <w:proofErr w:type="gramStart"/>
      <w:r w:rsidR="00D65615" w:rsidRPr="00D65615">
        <w:t>is a reflection of</w:t>
      </w:r>
      <w:proofErr w:type="gramEnd"/>
      <w:r w:rsidR="00D65615" w:rsidRPr="00D65615">
        <w:t xml:space="preserve"> daily revenue's inherent fluctuation. Overall, the findings show that the revenue series is stationary with little temporal dependence, and </w:t>
      </w:r>
      <w:proofErr w:type="gramStart"/>
      <w:r w:rsidR="00D65615" w:rsidRPr="00D65615">
        <w:t>ARIMA(</w:t>
      </w:r>
      <w:proofErr w:type="gramEnd"/>
      <w:r w:rsidR="00D65615" w:rsidRPr="00D65615">
        <w:t>1,0,1) offers a suitable yet straightforward forecasting framework that is in line with the properties of the data.</w:t>
      </w:r>
    </w:p>
    <w:p w14:paraId="04E43366" w14:textId="31E9A4F1" w:rsidR="002E2EC5" w:rsidRDefault="002E2EC5" w:rsidP="002E2EC5"/>
    <w:p w14:paraId="7C280EBD" w14:textId="5D6B3095" w:rsidR="00F00B6C" w:rsidRDefault="00F00B6C" w:rsidP="002E2EC5">
      <w:r w:rsidRPr="00913FEE">
        <w:rPr>
          <w:b/>
          <w:bCs/>
        </w:rPr>
        <w:t xml:space="preserve">ARIMA </w:t>
      </w:r>
      <w:proofErr w:type="gramStart"/>
      <w:r w:rsidRPr="00913FEE">
        <w:rPr>
          <w:b/>
          <w:bCs/>
        </w:rPr>
        <w:t>modeling</w:t>
      </w:r>
      <w:r>
        <w:rPr>
          <w:b/>
          <w:bCs/>
        </w:rPr>
        <w:t xml:space="preserve">  </w:t>
      </w:r>
      <w:proofErr w:type="spellStart"/>
      <w:r w:rsidR="00D747D9">
        <w:rPr>
          <w:b/>
          <w:bCs/>
        </w:rPr>
        <w:t>V</w:t>
      </w:r>
      <w:r>
        <w:rPr>
          <w:b/>
          <w:bCs/>
        </w:rPr>
        <w:t>isuali</w:t>
      </w:r>
      <w:r w:rsidR="00D747D9">
        <w:rPr>
          <w:b/>
          <w:bCs/>
        </w:rPr>
        <w:t>sation</w:t>
      </w:r>
      <w:proofErr w:type="spellEnd"/>
      <w:proofErr w:type="gramEnd"/>
      <w:r w:rsidR="00D747D9">
        <w:rPr>
          <w:b/>
          <w:bCs/>
        </w:rPr>
        <w:t xml:space="preserve"> </w:t>
      </w:r>
    </w:p>
    <w:p w14:paraId="5E0E75E2" w14:textId="77777777" w:rsidR="00D626A6" w:rsidRDefault="00D626A6" w:rsidP="00D626A6">
      <w:r w:rsidRPr="00D626A6">
        <w:t xml:space="preserve">The forecasting algorithm creates out-of-sample forecasts for the test period using the fitted ARIMA model. To provide a fair comparison between expected and actual values, the command </w:t>
      </w:r>
      <w:proofErr w:type="spellStart"/>
      <w:proofErr w:type="gramStart"/>
      <w:r w:rsidRPr="00D626A6">
        <w:t>results.forecast</w:t>
      </w:r>
      <w:proofErr w:type="spellEnd"/>
      <w:proofErr w:type="gramEnd"/>
      <w:r w:rsidRPr="00D626A6">
        <w:t>(steps=</w:t>
      </w:r>
      <w:proofErr w:type="spellStart"/>
      <w:r w:rsidRPr="00D626A6">
        <w:t>len</w:t>
      </w:r>
      <w:proofErr w:type="spellEnd"/>
      <w:r w:rsidRPr="00D626A6">
        <w:t xml:space="preserve">(test)) generates a one-step-ahead forecast for every point in the test set. </w:t>
      </w:r>
      <w:proofErr w:type="gramStart"/>
      <w:r w:rsidRPr="00D626A6">
        <w:t>In order to</w:t>
      </w:r>
      <w:proofErr w:type="gramEnd"/>
      <w:r w:rsidRPr="00D626A6">
        <w:t xml:space="preserve"> visually evaluate how effectively the model reflects the revenue dynamics, the training data, test data, and anticipated values are superimposed in the following plot. For assessing trend consistency, deviation patterns, and temporal alignment, this visualization is crucial.</w:t>
      </w:r>
    </w:p>
    <w:p w14:paraId="4E557AE3" w14:textId="16CBDD55" w:rsidR="008B08EA" w:rsidRDefault="00F00B6C" w:rsidP="00D626A6">
      <w:r w:rsidRPr="00F00B6C">
        <w:rPr>
          <w:noProof/>
        </w:rPr>
        <w:lastRenderedPageBreak/>
        <w:drawing>
          <wp:inline distT="0" distB="0" distL="0" distR="0" wp14:anchorId="375B8B22" wp14:editId="0FAD41CA">
            <wp:extent cx="4329234" cy="3060216"/>
            <wp:effectExtent l="0" t="0" r="0" b="6985"/>
            <wp:docPr id="33180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80480" name=""/>
                    <pic:cNvPicPr/>
                  </pic:nvPicPr>
                  <pic:blipFill>
                    <a:blip r:embed="rId11"/>
                    <a:stretch>
                      <a:fillRect/>
                    </a:stretch>
                  </pic:blipFill>
                  <pic:spPr>
                    <a:xfrm>
                      <a:off x="0" y="0"/>
                      <a:ext cx="4363658" cy="3084550"/>
                    </a:xfrm>
                    <a:prstGeom prst="rect">
                      <a:avLst/>
                    </a:prstGeom>
                  </pic:spPr>
                </pic:pic>
              </a:graphicData>
            </a:graphic>
          </wp:inline>
        </w:drawing>
      </w:r>
    </w:p>
    <w:p w14:paraId="01264597" w14:textId="2B5FDF58" w:rsidR="008B08EA" w:rsidRDefault="008B08EA" w:rsidP="008B08EA">
      <w:r w:rsidRPr="008B08EA">
        <w:t xml:space="preserve">Mean Absolute Error (MAE) and Root Mean Squared Error (RMSE) to measure accuracy. While RMSE penalizes greater deviations more severely, MAE measures the average magnitude of forecast errors. The results show moderate forecasting accuracy (MAE = 6163 and RMSE </w:t>
      </w:r>
      <w:r w:rsidR="00D747D9">
        <w:t xml:space="preserve">= </w:t>
      </w:r>
      <w:r w:rsidRPr="008B08EA">
        <w:t xml:space="preserve">7464), which is in line with the previous conclusion that the </w:t>
      </w:r>
      <w:proofErr w:type="gramStart"/>
      <w:r w:rsidRPr="008B08EA">
        <w:t>ARIMA(</w:t>
      </w:r>
      <w:proofErr w:type="gramEnd"/>
      <w:r w:rsidRPr="008B08EA">
        <w:t xml:space="preserve">1,0,1) model has weak autoregressive structure. These findings make sense </w:t>
      </w:r>
      <w:proofErr w:type="gramStart"/>
      <w:r w:rsidRPr="008B08EA">
        <w:t>in light of</w:t>
      </w:r>
      <w:proofErr w:type="gramEnd"/>
      <w:r w:rsidRPr="008B08EA">
        <w:t xml:space="preserve"> the data's low autocorrelation: the model accurately depicts the overall revenue level but is unable to accurately forecast short-term variations. For evaluating ARIMA performance on stationary revenue data, the forecasting process and assessment criteria are generally suitable and methodologically sound.</w:t>
      </w:r>
    </w:p>
    <w:p w14:paraId="7A406A68" w14:textId="77777777" w:rsidR="003F5743" w:rsidRPr="008B08EA" w:rsidRDefault="003F5743" w:rsidP="008B08EA"/>
    <w:p w14:paraId="63953EEB" w14:textId="6FF5B6E8" w:rsidR="00FC6DEC" w:rsidRPr="003F5743" w:rsidRDefault="003F5743" w:rsidP="00D626A6">
      <w:pPr>
        <w:rPr>
          <w:b/>
          <w:bCs/>
        </w:rPr>
      </w:pPr>
      <w:r w:rsidRPr="003F5743">
        <w:rPr>
          <w:b/>
          <w:bCs/>
        </w:rPr>
        <w:t>Seasonal Decomposition</w:t>
      </w:r>
    </w:p>
    <w:p w14:paraId="766A2E73" w14:textId="77777777" w:rsidR="00BF14BF" w:rsidRPr="00BF14BF" w:rsidRDefault="00DF335B" w:rsidP="00BF14BF">
      <w:r w:rsidRPr="00DF335B">
        <w:t xml:space="preserve">Examine whether there is a consistent weekly trend in the daily revenue data. To provide a continuous time series appropriate for decomposition, missing values are first eliminated. The program then applies the </w:t>
      </w:r>
      <w:proofErr w:type="spellStart"/>
      <w:r w:rsidRPr="00DF335B">
        <w:t>seasonal_decompose</w:t>
      </w:r>
      <w:proofErr w:type="spellEnd"/>
      <w:r w:rsidRPr="00DF335B">
        <w:t xml:space="preserve"> function with model="additive" and period=7, assuming that the observed income is composed of residual noise, a recurring 7-day seasonal cycle, and a trend component. Because the seasonal changes seem to have a </w:t>
      </w:r>
      <w:proofErr w:type="gramStart"/>
      <w:r w:rsidRPr="00DF335B">
        <w:t>roughly</w:t>
      </w:r>
      <w:proofErr w:type="gramEnd"/>
      <w:r w:rsidRPr="00DF335B">
        <w:t xml:space="preserve"> constant amplitude throughout time, an additive model makes </w:t>
      </w:r>
      <w:proofErr w:type="spellStart"/>
      <w:proofErr w:type="gramStart"/>
      <w:r w:rsidRPr="00DF335B">
        <w:t>sense.</w:t>
      </w:r>
      <w:r w:rsidR="00BF14BF" w:rsidRPr="00BF14BF">
        <w:t>Weekly</w:t>
      </w:r>
      <w:proofErr w:type="spellEnd"/>
      <w:proofErr w:type="gramEnd"/>
      <w:r w:rsidR="00BF14BF" w:rsidRPr="00BF14BF">
        <w:t xml:space="preserve"> seasonality is evident in the resulting four-panel figure. The trend component shows the long-term revenue trajectory throughout the 2023–2025 period while mitigating short-term variations. The seasonal component has a regular, recurring weekly pattern with comparable peaks and troughs every week, which corresponds with normal demand cycles in food delivery companies. The trend and seasonal structure have been successfully recorded, as evidenced by the residual component's mostly random oscillation around zero.</w:t>
      </w:r>
      <w:r w:rsidR="00BF14BF" w:rsidRPr="00BF14BF">
        <w:br/>
        <w:t>The employment of a SARIMA model with a seasonal period of seven for forecasting is justified by the decomposition, which verifies that the data shows a robust and consistent weekly seasonal pattern.</w:t>
      </w:r>
    </w:p>
    <w:p w14:paraId="73010072" w14:textId="24256E66" w:rsidR="00176398" w:rsidRPr="00E53499" w:rsidRDefault="00EE0141" w:rsidP="00B02C57">
      <w:r w:rsidRPr="00EE0141">
        <w:lastRenderedPageBreak/>
        <w:drawing>
          <wp:inline distT="0" distB="0" distL="0" distR="0" wp14:anchorId="322B4B2D" wp14:editId="641E3B11">
            <wp:extent cx="4621591" cy="3002553"/>
            <wp:effectExtent l="0" t="0" r="7620" b="7620"/>
            <wp:docPr id="1406974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974975" name=""/>
                    <pic:cNvPicPr/>
                  </pic:nvPicPr>
                  <pic:blipFill>
                    <a:blip r:embed="rId12"/>
                    <a:stretch>
                      <a:fillRect/>
                    </a:stretch>
                  </pic:blipFill>
                  <pic:spPr>
                    <a:xfrm>
                      <a:off x="0" y="0"/>
                      <a:ext cx="4657589" cy="3025940"/>
                    </a:xfrm>
                    <a:prstGeom prst="rect">
                      <a:avLst/>
                    </a:prstGeom>
                  </pic:spPr>
                </pic:pic>
              </a:graphicData>
            </a:graphic>
          </wp:inline>
        </w:drawing>
      </w:r>
    </w:p>
    <w:p w14:paraId="1F6413A4" w14:textId="49C14E01" w:rsidR="002754D1" w:rsidRPr="00176398" w:rsidRDefault="002754D1" w:rsidP="00B02C57">
      <w:pPr>
        <w:rPr>
          <w:b/>
          <w:bCs/>
        </w:rPr>
      </w:pPr>
      <w:r w:rsidRPr="002754D1">
        <w:rPr>
          <w:b/>
          <w:bCs/>
        </w:rPr>
        <w:t>Fit SARIMA Model</w:t>
      </w:r>
    </w:p>
    <w:p w14:paraId="300F4469" w14:textId="56C3BF4F" w:rsidR="00257104" w:rsidRPr="00257104" w:rsidRDefault="007C296D" w:rsidP="00257104">
      <w:proofErr w:type="gramStart"/>
      <w:r w:rsidRPr="007C296D">
        <w:t>In order to</w:t>
      </w:r>
      <w:proofErr w:type="gramEnd"/>
      <w:r w:rsidRPr="007C296D">
        <w:t xml:space="preserve"> capture both weekly seasonality and short-term autocorrelation, a Seasonal ARIMA model was applied to the training component of the revenue time series. One autoregressive term, one moving-average term, and a seasonal AR and MA component that repeats every seven days make up the model's specification, which is </w:t>
      </w:r>
      <w:proofErr w:type="gramStart"/>
      <w:r w:rsidRPr="007C296D">
        <w:t>SARIMAX(</w:t>
      </w:r>
      <w:proofErr w:type="gramEnd"/>
      <w:r w:rsidRPr="007C296D">
        <w:t>train, order</w:t>
      </w:r>
      <w:proofErr w:type="gramStart"/>
      <w:r w:rsidRPr="007C296D">
        <w:t>=(</w:t>
      </w:r>
      <w:proofErr w:type="gramEnd"/>
      <w:r w:rsidRPr="007C296D">
        <w:t xml:space="preserve">1,0,1), </w:t>
      </w:r>
      <w:proofErr w:type="spellStart"/>
      <w:r w:rsidRPr="007C296D">
        <w:t>seasonal_order</w:t>
      </w:r>
      <w:proofErr w:type="spellEnd"/>
      <w:proofErr w:type="gramStart"/>
      <w:r w:rsidRPr="007C296D">
        <w:t>=(</w:t>
      </w:r>
      <w:proofErr w:type="gramEnd"/>
      <w:r w:rsidRPr="007C296D">
        <w:t>1,0,</w:t>
      </w:r>
      <w:proofErr w:type="gramStart"/>
      <w:r w:rsidRPr="007C296D">
        <w:t>1,7</w:t>
      </w:r>
      <w:proofErr w:type="gramEnd"/>
      <w:r w:rsidRPr="007C296D">
        <w:t xml:space="preserve">)). </w:t>
      </w:r>
      <w:proofErr w:type="gramStart"/>
      <w:r w:rsidRPr="007C296D">
        <w:t>In order to</w:t>
      </w:r>
      <w:proofErr w:type="gramEnd"/>
      <w:r w:rsidRPr="007C296D">
        <w:t xml:space="preserve"> enable the model to converge even when parameters are close to the boundary of the parameter space, stationarity and invertibility constraints are turned off.</w:t>
      </w:r>
      <w:r w:rsidR="00257104">
        <w:t xml:space="preserve"> </w:t>
      </w:r>
      <w:r w:rsidR="00257104" w:rsidRPr="00257104">
        <w:t xml:space="preserve">Key diagnostics are reported in the model summary. When comparing different SARIMA configurations, the AIC value (12064) offers a measure of model fit. The Ljung-Box test yields a non-significant p-value, indicating that the model captures </w:t>
      </w:r>
      <w:proofErr w:type="gramStart"/>
      <w:r w:rsidR="00257104" w:rsidRPr="00257104">
        <w:t>the majority of</w:t>
      </w:r>
      <w:proofErr w:type="gramEnd"/>
      <w:r w:rsidR="00257104" w:rsidRPr="00257104">
        <w:t xml:space="preserve"> temporal structure and residual autocorrelation is low. Although non-normal residuals are frequently found in real-world revenue data, the Jarque-Bera test does not invalidate forecasting. Covariance matrix warnings indicate parameter instability, which is frequently caused by modest AR/MA effects.</w:t>
      </w:r>
    </w:p>
    <w:p w14:paraId="4464DFC5" w14:textId="1EC7D0FB" w:rsidR="007C296D" w:rsidRPr="007C296D" w:rsidRDefault="00E53499" w:rsidP="007C296D">
      <w:r w:rsidRPr="000772E1">
        <w:drawing>
          <wp:inline distT="0" distB="0" distL="0" distR="0" wp14:anchorId="72A8FA22" wp14:editId="37AC81B0">
            <wp:extent cx="4891835" cy="2115091"/>
            <wp:effectExtent l="0" t="0" r="4445" b="0"/>
            <wp:docPr id="1497156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156063" name=""/>
                    <pic:cNvPicPr/>
                  </pic:nvPicPr>
                  <pic:blipFill>
                    <a:blip r:embed="rId13"/>
                    <a:stretch>
                      <a:fillRect/>
                    </a:stretch>
                  </pic:blipFill>
                  <pic:spPr>
                    <a:xfrm>
                      <a:off x="0" y="0"/>
                      <a:ext cx="4944308" cy="2137779"/>
                    </a:xfrm>
                    <a:prstGeom prst="rect">
                      <a:avLst/>
                    </a:prstGeom>
                  </pic:spPr>
                </pic:pic>
              </a:graphicData>
            </a:graphic>
          </wp:inline>
        </w:drawing>
      </w:r>
    </w:p>
    <w:p w14:paraId="3CAD1E28" w14:textId="77777777" w:rsidR="00483D8A" w:rsidRDefault="00483D8A" w:rsidP="00483D8A">
      <w:r w:rsidRPr="00483D8A">
        <w:lastRenderedPageBreak/>
        <w:t>The forecast plot contrasts the test set with the model's predictions. The SARIMA forecast captures the overall level and weekly changes while tracking the general direction of the actual values. This shows that the model provides a solid short-term forecasting baseline and effectively learns the previously known seasonal trend.</w:t>
      </w:r>
    </w:p>
    <w:p w14:paraId="11753385" w14:textId="77777777" w:rsidR="00987F75" w:rsidRPr="00483D8A" w:rsidRDefault="00987F75" w:rsidP="00483D8A"/>
    <w:p w14:paraId="1B130787" w14:textId="613412F5" w:rsidR="00E53499" w:rsidRPr="000B50C5" w:rsidRDefault="00987F75" w:rsidP="00B02C57">
      <w:pPr>
        <w:rPr>
          <w:b/>
          <w:bCs/>
        </w:rPr>
      </w:pPr>
      <w:r w:rsidRPr="00987F75">
        <w:rPr>
          <w:b/>
          <w:bCs/>
        </w:rPr>
        <w:t>DBSCAN Clustering</w:t>
      </w:r>
    </w:p>
    <w:p w14:paraId="0841DC1B" w14:textId="77777777" w:rsidR="00FB1869" w:rsidRDefault="000B50C5" w:rsidP="00FB1869">
      <w:r w:rsidRPr="000B50C5">
        <w:t xml:space="preserve">After assessing the SARIMA model's performance, the algorithm uses DBSCAN to investigate any natural groups within the dataset. First, MAE and RMSE are used to measure the accuracy of the SARIMA forecast. The values (MAE 6308, RMSE 7540) show a moderate forecasting inaccuracy, indicating that SARIMA catches weekly patterns but not all swings and </w:t>
      </w:r>
      <w:proofErr w:type="gramStart"/>
      <w:r w:rsidRPr="000B50C5">
        <w:t>reflecting</w:t>
      </w:r>
      <w:proofErr w:type="gramEnd"/>
      <w:r w:rsidRPr="000B50C5">
        <w:t xml:space="preserve"> the variability in revenue data.</w:t>
      </w:r>
    </w:p>
    <w:p w14:paraId="3EB06017" w14:textId="759C4CF9" w:rsidR="00FB1869" w:rsidRDefault="00FB1869" w:rsidP="00FB1869">
      <w:r w:rsidRPr="00FB1869">
        <w:t xml:space="preserve">DBSCAN is a sophisticated clustering technique. Instead of using predetermined cluster counts, DBSCAN uses density to identify clusters. A point must have at least 10 neighbors within a radius of 0.8 (in scaled feature space) </w:t>
      </w:r>
      <w:proofErr w:type="gramStart"/>
      <w:r w:rsidRPr="00FB1869">
        <w:t>in order to</w:t>
      </w:r>
      <w:proofErr w:type="gramEnd"/>
      <w:r w:rsidRPr="00FB1869">
        <w:t xml:space="preserve"> generate a dense region, according to the </w:t>
      </w:r>
      <w:proofErr w:type="gramStart"/>
      <w:r w:rsidRPr="00FB1869">
        <w:t>parameters</w:t>
      </w:r>
      <w:proofErr w:type="gramEnd"/>
      <w:r w:rsidRPr="00FB1869">
        <w:t xml:space="preserve"> eps=0.8 and </w:t>
      </w:r>
      <w:proofErr w:type="spellStart"/>
      <w:r w:rsidRPr="00FB1869">
        <w:t>min_samples</w:t>
      </w:r>
      <w:proofErr w:type="spellEnd"/>
      <w:r w:rsidRPr="00FB1869">
        <w:t>=10. Following fitting, DBSCAN labels each point: -1 for noise points and 0 for the single recognized cluster. DBSCAN discovered a single dense cluster and multiple outliers, as shown by the output's two labels, 0 and -1.</w:t>
      </w:r>
    </w:p>
    <w:p w14:paraId="31896ED1" w14:textId="4E7D8D6F" w:rsidR="00B16A4E" w:rsidRPr="00FB1869" w:rsidRDefault="00B16A4E" w:rsidP="00FB1869">
      <w:r w:rsidRPr="00B16A4E">
        <w:drawing>
          <wp:inline distT="0" distB="0" distL="0" distR="0" wp14:anchorId="41A7AFC5" wp14:editId="7E6AE0BA">
            <wp:extent cx="4140259" cy="3087182"/>
            <wp:effectExtent l="0" t="0" r="0" b="0"/>
            <wp:docPr id="178463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63397" name=""/>
                    <pic:cNvPicPr/>
                  </pic:nvPicPr>
                  <pic:blipFill>
                    <a:blip r:embed="rId14"/>
                    <a:stretch>
                      <a:fillRect/>
                    </a:stretch>
                  </pic:blipFill>
                  <pic:spPr>
                    <a:xfrm>
                      <a:off x="0" y="0"/>
                      <a:ext cx="4166561" cy="3106794"/>
                    </a:xfrm>
                    <a:prstGeom prst="rect">
                      <a:avLst/>
                    </a:prstGeom>
                  </pic:spPr>
                </pic:pic>
              </a:graphicData>
            </a:graphic>
          </wp:inline>
        </w:drawing>
      </w:r>
    </w:p>
    <w:p w14:paraId="6BEDE9A3" w14:textId="77777777" w:rsidR="0098061A" w:rsidRPr="0098061A" w:rsidRDefault="0098061A" w:rsidP="0098061A">
      <w:r w:rsidRPr="0098061A">
        <w:t xml:space="preserve">Since the metric requires at least two clusters, the silhouette score cannot be calculated because there is only one valid cluster. This is supported by the PCA scatter plot, which shows that noise points are dispersed throughout and </w:t>
      </w:r>
      <w:proofErr w:type="gramStart"/>
      <w:r w:rsidRPr="0098061A">
        <w:t>the majority of</w:t>
      </w:r>
      <w:proofErr w:type="gramEnd"/>
      <w:r w:rsidRPr="0098061A">
        <w:t xml:space="preserve"> points fall into a single, sizable cluster. This shows that with the selected </w:t>
      </w:r>
      <w:proofErr w:type="gramStart"/>
      <w:r w:rsidRPr="0098061A">
        <w:t>settings,</w:t>
      </w:r>
      <w:proofErr w:type="gramEnd"/>
      <w:r w:rsidRPr="0098061A">
        <w:t xml:space="preserve"> the dataset does not automatically split into several density-based groups.</w:t>
      </w:r>
    </w:p>
    <w:p w14:paraId="6A1368FB" w14:textId="0F632B4C" w:rsidR="000B50C5" w:rsidRPr="000B50C5" w:rsidRDefault="000B50C5" w:rsidP="000B50C5"/>
    <w:p w14:paraId="64078CA3" w14:textId="77777777" w:rsidR="00E53499" w:rsidRDefault="00E53499" w:rsidP="00B02C57"/>
    <w:p w14:paraId="13244277" w14:textId="77777777" w:rsidR="00E53499" w:rsidRDefault="00E53499" w:rsidP="00B02C57"/>
    <w:p w14:paraId="7508AC90" w14:textId="77777777" w:rsidR="00966FC2" w:rsidRDefault="00966FC2" w:rsidP="00B02C57"/>
    <w:p w14:paraId="3526244A" w14:textId="77777777" w:rsidR="00966FC2" w:rsidRDefault="00966FC2" w:rsidP="00B02C57"/>
    <w:p w14:paraId="401F4A20" w14:textId="77777777" w:rsidR="00966FC2" w:rsidRPr="00B02C57" w:rsidRDefault="00966FC2" w:rsidP="00B02C57"/>
    <w:p w14:paraId="74632B01" w14:textId="77777777" w:rsidR="00ED2001" w:rsidRDefault="00ED2001" w:rsidP="00ED2001">
      <w:hyperlink r:id="rId15" w:history="1">
        <w:r w:rsidRPr="007B13F4">
          <w:rPr>
            <w:rStyle w:val="Hyperlink"/>
          </w:rPr>
          <w:t>https://www.kaggle.com/datasets/ayeshaimran1619/foodpanda-data-analysis</w:t>
        </w:r>
      </w:hyperlink>
    </w:p>
    <w:p w14:paraId="47822420" w14:textId="77777777" w:rsidR="00173DB9" w:rsidRDefault="00173DB9"/>
    <w:sectPr w:rsidR="00173DB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297264"/>
    <w:multiLevelType w:val="multilevel"/>
    <w:tmpl w:val="772088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71D302B2"/>
    <w:multiLevelType w:val="multilevel"/>
    <w:tmpl w:val="33A6EF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04272485">
    <w:abstractNumId w:val="0"/>
  </w:num>
  <w:num w:numId="2" w16cid:durableId="7604933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70B3"/>
    <w:rsid w:val="000141B3"/>
    <w:rsid w:val="00062F82"/>
    <w:rsid w:val="000772E1"/>
    <w:rsid w:val="000B33D2"/>
    <w:rsid w:val="000B50C5"/>
    <w:rsid w:val="000C1C42"/>
    <w:rsid w:val="000D3511"/>
    <w:rsid w:val="000E0201"/>
    <w:rsid w:val="001048CE"/>
    <w:rsid w:val="00160BAD"/>
    <w:rsid w:val="00162C6E"/>
    <w:rsid w:val="00173DB9"/>
    <w:rsid w:val="00176398"/>
    <w:rsid w:val="001F4415"/>
    <w:rsid w:val="00231EEA"/>
    <w:rsid w:val="00257104"/>
    <w:rsid w:val="002754D1"/>
    <w:rsid w:val="002E2EC5"/>
    <w:rsid w:val="0034495C"/>
    <w:rsid w:val="003F5743"/>
    <w:rsid w:val="004567D5"/>
    <w:rsid w:val="00461DFB"/>
    <w:rsid w:val="00483D8A"/>
    <w:rsid w:val="004A69F5"/>
    <w:rsid w:val="004B0408"/>
    <w:rsid w:val="004B0611"/>
    <w:rsid w:val="005856F2"/>
    <w:rsid w:val="005A1044"/>
    <w:rsid w:val="00747332"/>
    <w:rsid w:val="007B6A55"/>
    <w:rsid w:val="007C296D"/>
    <w:rsid w:val="007D3EC5"/>
    <w:rsid w:val="007E7C1B"/>
    <w:rsid w:val="007F70B3"/>
    <w:rsid w:val="00882B33"/>
    <w:rsid w:val="008A4840"/>
    <w:rsid w:val="008B08EA"/>
    <w:rsid w:val="008E22D4"/>
    <w:rsid w:val="008F360C"/>
    <w:rsid w:val="00913FEE"/>
    <w:rsid w:val="00936EA0"/>
    <w:rsid w:val="00966FC2"/>
    <w:rsid w:val="0098061A"/>
    <w:rsid w:val="00987F75"/>
    <w:rsid w:val="009930E3"/>
    <w:rsid w:val="00A8467A"/>
    <w:rsid w:val="00AA1326"/>
    <w:rsid w:val="00AE2D33"/>
    <w:rsid w:val="00B02C57"/>
    <w:rsid w:val="00B1385D"/>
    <w:rsid w:val="00B16A4E"/>
    <w:rsid w:val="00B57FC9"/>
    <w:rsid w:val="00B80B58"/>
    <w:rsid w:val="00B82E9F"/>
    <w:rsid w:val="00BA31B6"/>
    <w:rsid w:val="00BB16B0"/>
    <w:rsid w:val="00BF14BF"/>
    <w:rsid w:val="00C662FD"/>
    <w:rsid w:val="00D00A4A"/>
    <w:rsid w:val="00D626A6"/>
    <w:rsid w:val="00D65615"/>
    <w:rsid w:val="00D747D9"/>
    <w:rsid w:val="00DF31CB"/>
    <w:rsid w:val="00DF335B"/>
    <w:rsid w:val="00E53499"/>
    <w:rsid w:val="00ED2001"/>
    <w:rsid w:val="00EE0141"/>
    <w:rsid w:val="00F00B6C"/>
    <w:rsid w:val="00F46888"/>
    <w:rsid w:val="00F91DA8"/>
    <w:rsid w:val="00FB1108"/>
    <w:rsid w:val="00FB1869"/>
    <w:rsid w:val="00FC4769"/>
    <w:rsid w:val="00FC6DEC"/>
    <w:rsid w:val="00FE07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754B00"/>
  <w15:chartTrackingRefBased/>
  <w15:docId w15:val="{EDD2018C-D49B-43ED-A957-DAB5625882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70B3"/>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7F70B3"/>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7F70B3"/>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7F70B3"/>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7F70B3"/>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7F70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70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70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70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70B3"/>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7F70B3"/>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7F70B3"/>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7F70B3"/>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7F70B3"/>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7F70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70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70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70B3"/>
    <w:rPr>
      <w:rFonts w:eastAsiaTheme="majorEastAsia" w:cstheme="majorBidi"/>
      <w:color w:val="272727" w:themeColor="text1" w:themeTint="D8"/>
    </w:rPr>
  </w:style>
  <w:style w:type="paragraph" w:styleId="Title">
    <w:name w:val="Title"/>
    <w:basedOn w:val="Normal"/>
    <w:next w:val="Normal"/>
    <w:link w:val="TitleChar"/>
    <w:uiPriority w:val="10"/>
    <w:qFormat/>
    <w:rsid w:val="007F70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70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70B3"/>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70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70B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F70B3"/>
    <w:rPr>
      <w:i/>
      <w:iCs/>
      <w:color w:val="404040" w:themeColor="text1" w:themeTint="BF"/>
    </w:rPr>
  </w:style>
  <w:style w:type="paragraph" w:styleId="ListParagraph">
    <w:name w:val="List Paragraph"/>
    <w:basedOn w:val="Normal"/>
    <w:uiPriority w:val="34"/>
    <w:qFormat/>
    <w:rsid w:val="007F70B3"/>
    <w:pPr>
      <w:ind w:left="720"/>
      <w:contextualSpacing/>
    </w:pPr>
  </w:style>
  <w:style w:type="character" w:styleId="IntenseEmphasis">
    <w:name w:val="Intense Emphasis"/>
    <w:basedOn w:val="DefaultParagraphFont"/>
    <w:uiPriority w:val="21"/>
    <w:qFormat/>
    <w:rsid w:val="007F70B3"/>
    <w:rPr>
      <w:i/>
      <w:iCs/>
      <w:color w:val="365F91" w:themeColor="accent1" w:themeShade="BF"/>
    </w:rPr>
  </w:style>
  <w:style w:type="paragraph" w:styleId="IntenseQuote">
    <w:name w:val="Intense Quote"/>
    <w:basedOn w:val="Normal"/>
    <w:next w:val="Normal"/>
    <w:link w:val="IntenseQuoteChar"/>
    <w:uiPriority w:val="30"/>
    <w:qFormat/>
    <w:rsid w:val="007F70B3"/>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7F70B3"/>
    <w:rPr>
      <w:i/>
      <w:iCs/>
      <w:color w:val="365F91" w:themeColor="accent1" w:themeShade="BF"/>
    </w:rPr>
  </w:style>
  <w:style w:type="character" w:styleId="IntenseReference">
    <w:name w:val="Intense Reference"/>
    <w:basedOn w:val="DefaultParagraphFont"/>
    <w:uiPriority w:val="32"/>
    <w:qFormat/>
    <w:rsid w:val="007F70B3"/>
    <w:rPr>
      <w:b/>
      <w:bCs/>
      <w:smallCaps/>
      <w:color w:val="365F91" w:themeColor="accent1" w:themeShade="BF"/>
      <w:spacing w:val="5"/>
    </w:rPr>
  </w:style>
  <w:style w:type="character" w:styleId="Hyperlink">
    <w:name w:val="Hyperlink"/>
    <w:basedOn w:val="DefaultParagraphFont"/>
    <w:uiPriority w:val="99"/>
    <w:unhideWhenUsed/>
    <w:rsid w:val="007F70B3"/>
    <w:rPr>
      <w:color w:val="0000FF" w:themeColor="hyperlink"/>
      <w:u w:val="single"/>
    </w:rPr>
  </w:style>
  <w:style w:type="character" w:styleId="UnresolvedMention">
    <w:name w:val="Unresolved Mention"/>
    <w:basedOn w:val="DefaultParagraphFont"/>
    <w:uiPriority w:val="99"/>
    <w:semiHidden/>
    <w:unhideWhenUsed/>
    <w:rsid w:val="007F70B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hyperlink" Target="https://www.kaggle.com/datasets/ayeshaimran1619/foodpanda-data-analysis" TargetMode="Externa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605</TotalTime>
  <Pages>10</Pages>
  <Words>2385</Words>
  <Characters>13601</Characters>
  <Application>Microsoft Office Word</Application>
  <DocSecurity>0</DocSecurity>
  <Lines>113</Lines>
  <Paragraphs>31</Paragraphs>
  <ScaleCrop>false</ScaleCrop>
  <Company/>
  <LinksUpToDate>false</LinksUpToDate>
  <CharactersWithSpaces>15955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alexandru tarmure</dc:creator>
  <cp:keywords/>
  <dc:description/>
  <cp:lastModifiedBy>alexandru tarmure</cp:lastModifiedBy>
  <cp:revision>65</cp:revision>
  <dcterms:created xsi:type="dcterms:W3CDTF">2026-03-19T20:05:00Z</dcterms:created>
  <dcterms:modified xsi:type="dcterms:W3CDTF">2026-04-15T20:59:00Z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2e2b7f68-6281-4617-8880-ec4e0d3aece8</vt:lpwstr>
  </property>
</Properties>
</file>