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5A" w:rsidRPr="00051546" w:rsidRDefault="00C7155A" w:rsidP="00C7155A">
      <w:pPr>
        <w:rPr>
          <w:shd w:val="clear" w:color="auto" w:fill="FFFFFF"/>
        </w:rPr>
      </w:pPr>
      <w:proofErr w:type="spellStart"/>
      <w:r w:rsidRPr="00051546">
        <w:rPr>
          <w:shd w:val="clear" w:color="auto" w:fill="FFFFFF"/>
        </w:rPr>
        <w:t>Oficiul</w:t>
      </w:r>
      <w:proofErr w:type="spellEnd"/>
      <w:r w:rsidRPr="00051546">
        <w:rPr>
          <w:shd w:val="clear" w:color="auto" w:fill="FFFFFF"/>
        </w:rPr>
        <w:t xml:space="preserve"> Roman </w:t>
      </w:r>
      <w:proofErr w:type="spellStart"/>
      <w:r w:rsidRPr="00051546">
        <w:rPr>
          <w:shd w:val="clear" w:color="auto" w:fill="FFFFFF"/>
        </w:rPr>
        <w:t>pentru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Drepturile</w:t>
      </w:r>
      <w:proofErr w:type="spellEnd"/>
      <w:r w:rsidRPr="00051546">
        <w:rPr>
          <w:shd w:val="clear" w:color="auto" w:fill="FFFFFF"/>
        </w:rPr>
        <w:t xml:space="preserve"> de </w:t>
      </w:r>
      <w:proofErr w:type="spellStart"/>
      <w:r w:rsidRPr="00051546">
        <w:rPr>
          <w:shd w:val="clear" w:color="auto" w:fill="FFFFFF"/>
        </w:rPr>
        <w:t>Autor</w:t>
      </w:r>
      <w:proofErr w:type="spellEnd"/>
    </w:p>
    <w:p w:rsidR="00C7155A" w:rsidRPr="00051546" w:rsidRDefault="00C7155A" w:rsidP="00C7155A">
      <w:pPr>
        <w:rPr>
          <w:sz w:val="30"/>
          <w:szCs w:val="30"/>
          <w:shd w:val="clear" w:color="auto" w:fill="FFFFFF"/>
        </w:rPr>
      </w:pPr>
    </w:p>
    <w:p w:rsidR="00C7155A" w:rsidRPr="00051546" w:rsidRDefault="00C7155A" w:rsidP="00C7155A">
      <w:pPr>
        <w:jc w:val="center"/>
        <w:rPr>
          <w:b/>
          <w:sz w:val="24"/>
          <w:szCs w:val="24"/>
          <w:shd w:val="clear" w:color="auto" w:fill="FFFFFF"/>
        </w:rPr>
      </w:pPr>
      <w:proofErr w:type="spellStart"/>
      <w:proofErr w:type="gramStart"/>
      <w:r w:rsidRPr="00051546">
        <w:rPr>
          <w:b/>
          <w:sz w:val="24"/>
          <w:szCs w:val="24"/>
          <w:shd w:val="clear" w:color="auto" w:fill="FFFFFF"/>
        </w:rPr>
        <w:t>Decizia</w:t>
      </w:r>
      <w:proofErr w:type="spellEnd"/>
      <w:r w:rsidRPr="00051546">
        <w:rPr>
          <w:b/>
          <w:sz w:val="24"/>
          <w:szCs w:val="24"/>
          <w:shd w:val="clear" w:color="auto" w:fill="FFFFFF"/>
        </w:rPr>
        <w:t xml:space="preserve"> nr.</w:t>
      </w:r>
      <w:proofErr w:type="gramEnd"/>
      <w:r w:rsidRPr="00051546">
        <w:rPr>
          <w:b/>
          <w:sz w:val="24"/>
          <w:szCs w:val="24"/>
          <w:shd w:val="clear" w:color="auto" w:fill="FFFFFF"/>
        </w:rPr>
        <w:t xml:space="preserve"> 173/2013</w:t>
      </w:r>
    </w:p>
    <w:p w:rsidR="00C7155A" w:rsidRPr="00051546" w:rsidRDefault="00C7155A" w:rsidP="00C7155A">
      <w:pPr>
        <w:jc w:val="center"/>
        <w:rPr>
          <w:i/>
          <w:sz w:val="20"/>
          <w:szCs w:val="20"/>
          <w:shd w:val="clear" w:color="auto" w:fill="FFFFFF"/>
        </w:rPr>
      </w:pPr>
      <w:proofErr w:type="gramStart"/>
      <w:r w:rsidRPr="00051546">
        <w:rPr>
          <w:i/>
          <w:sz w:val="20"/>
          <w:szCs w:val="20"/>
          <w:shd w:val="clear" w:color="auto" w:fill="FFFFFF"/>
        </w:rPr>
        <w:t>din</w:t>
      </w:r>
      <w:proofErr w:type="gramEnd"/>
      <w:r w:rsidRPr="00051546">
        <w:rPr>
          <w:i/>
          <w:sz w:val="20"/>
          <w:szCs w:val="20"/>
          <w:shd w:val="clear" w:color="auto" w:fill="FFFFFF"/>
        </w:rPr>
        <w:t xml:space="preserve"> 10/10/2013</w:t>
      </w:r>
    </w:p>
    <w:p w:rsidR="00C7155A" w:rsidRPr="00051546" w:rsidRDefault="00C7155A" w:rsidP="00C7155A">
      <w:pPr>
        <w:jc w:val="center"/>
        <w:rPr>
          <w:shd w:val="clear" w:color="auto" w:fill="FFFFFF"/>
        </w:rPr>
      </w:pPr>
      <w:proofErr w:type="spellStart"/>
      <w:proofErr w:type="gramStart"/>
      <w:r w:rsidRPr="00051546">
        <w:rPr>
          <w:shd w:val="clear" w:color="auto" w:fill="FFFFFF"/>
        </w:rPr>
        <w:t>Publicat</w:t>
      </w:r>
      <w:proofErr w:type="spellEnd"/>
      <w:r w:rsidRPr="00051546">
        <w:rPr>
          <w:shd w:val="clear" w:color="auto" w:fill="FFFFFF"/>
        </w:rPr>
        <w:t xml:space="preserve"> in </w:t>
      </w:r>
      <w:proofErr w:type="spellStart"/>
      <w:r w:rsidRPr="00051546">
        <w:rPr>
          <w:shd w:val="clear" w:color="auto" w:fill="FFFFFF"/>
        </w:rPr>
        <w:t>Monitorul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Oficial</w:t>
      </w:r>
      <w:proofErr w:type="spellEnd"/>
      <w:r w:rsidRPr="00051546">
        <w:rPr>
          <w:shd w:val="clear" w:color="auto" w:fill="FFFFFF"/>
        </w:rPr>
        <w:t xml:space="preserve">, </w:t>
      </w:r>
      <w:proofErr w:type="spellStart"/>
      <w:r w:rsidRPr="00051546">
        <w:rPr>
          <w:shd w:val="clear" w:color="auto" w:fill="FFFFFF"/>
        </w:rPr>
        <w:t>Partea</w:t>
      </w:r>
      <w:proofErr w:type="spellEnd"/>
      <w:r w:rsidRPr="00051546">
        <w:rPr>
          <w:shd w:val="clear" w:color="auto" w:fill="FFFFFF"/>
        </w:rPr>
        <w:t xml:space="preserve"> I nr.</w:t>
      </w:r>
      <w:proofErr w:type="gramEnd"/>
      <w:r w:rsidRPr="00051546">
        <w:rPr>
          <w:shd w:val="clear" w:color="auto" w:fill="FFFFFF"/>
        </w:rPr>
        <w:t xml:space="preserve"> 741 din</w:t>
      </w:r>
    </w:p>
    <w:p w:rsidR="00C7155A" w:rsidRPr="00051546" w:rsidRDefault="00C7155A" w:rsidP="00C7155A">
      <w:pPr>
        <w:jc w:val="center"/>
        <w:rPr>
          <w:sz w:val="30"/>
          <w:szCs w:val="30"/>
          <w:shd w:val="clear" w:color="auto" w:fill="FFFFFF"/>
        </w:rPr>
      </w:pPr>
      <w:r w:rsidRPr="00051546">
        <w:rPr>
          <w:shd w:val="clear" w:color="auto" w:fill="FFFFFF"/>
        </w:rPr>
        <w:t>17/10/2013</w:t>
      </w:r>
      <w:r w:rsidRPr="00051546">
        <w:rPr>
          <w:shd w:val="clear" w:color="auto" w:fill="FFFFFF"/>
        </w:rPr>
        <w:cr/>
      </w:r>
    </w:p>
    <w:p w:rsidR="00C7155A" w:rsidRPr="00051546" w:rsidRDefault="00C7155A" w:rsidP="00C7155A">
      <w:pPr>
        <w:jc w:val="center"/>
        <w:rPr>
          <w:shd w:val="clear" w:color="auto" w:fill="FFFFFF"/>
        </w:rPr>
      </w:pPr>
      <w:proofErr w:type="spellStart"/>
      <w:r w:rsidRPr="00051546">
        <w:rPr>
          <w:shd w:val="clear" w:color="auto" w:fill="FFFFFF"/>
        </w:rPr>
        <w:t>pentru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publicarea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în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Monitorul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Oficial</w:t>
      </w:r>
      <w:proofErr w:type="spellEnd"/>
      <w:r w:rsidRPr="00051546">
        <w:rPr>
          <w:shd w:val="clear" w:color="auto" w:fill="FFFFFF"/>
        </w:rPr>
        <w:t xml:space="preserve"> al </w:t>
      </w:r>
      <w:proofErr w:type="spellStart"/>
      <w:r w:rsidRPr="00051546">
        <w:rPr>
          <w:shd w:val="clear" w:color="auto" w:fill="FFFFFF"/>
        </w:rPr>
        <w:t>României</w:t>
      </w:r>
      <w:proofErr w:type="spellEnd"/>
      <w:r w:rsidRPr="00051546">
        <w:rPr>
          <w:shd w:val="clear" w:color="auto" w:fill="FFFFFF"/>
        </w:rPr>
        <w:t xml:space="preserve">, </w:t>
      </w:r>
      <w:proofErr w:type="spellStart"/>
      <w:r w:rsidRPr="00051546">
        <w:rPr>
          <w:shd w:val="clear" w:color="auto" w:fill="FFFFFF"/>
        </w:rPr>
        <w:t>Partea</w:t>
      </w:r>
      <w:proofErr w:type="spellEnd"/>
      <w:r w:rsidRPr="00051546">
        <w:rPr>
          <w:shd w:val="clear" w:color="auto" w:fill="FFFFFF"/>
        </w:rPr>
        <w:t xml:space="preserve"> I, a </w:t>
      </w:r>
      <w:proofErr w:type="spellStart"/>
      <w:r w:rsidRPr="00051546">
        <w:rPr>
          <w:shd w:val="clear" w:color="auto" w:fill="FFFFFF"/>
        </w:rPr>
        <w:t>Protocolului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privind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criteriile</w:t>
      </w:r>
      <w:proofErr w:type="spellEnd"/>
      <w:r w:rsidRPr="00051546">
        <w:rPr>
          <w:shd w:val="clear" w:color="auto" w:fill="FFFFFF"/>
        </w:rPr>
        <w:t xml:space="preserve"> de </w:t>
      </w:r>
      <w:proofErr w:type="spellStart"/>
      <w:r w:rsidRPr="00051546">
        <w:rPr>
          <w:shd w:val="clear" w:color="auto" w:fill="FFFFFF"/>
        </w:rPr>
        <w:t>repartizare</w:t>
      </w:r>
      <w:proofErr w:type="spellEnd"/>
      <w:r w:rsidRPr="00051546">
        <w:rPr>
          <w:shd w:val="clear" w:color="auto" w:fill="FFFFFF"/>
        </w:rPr>
        <w:t xml:space="preserve"> a </w:t>
      </w:r>
      <w:proofErr w:type="spellStart"/>
      <w:r w:rsidRPr="00051546">
        <w:rPr>
          <w:shd w:val="clear" w:color="auto" w:fill="FFFFFF"/>
        </w:rPr>
        <w:t>sumelor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cuvenite</w:t>
      </w:r>
      <w:proofErr w:type="spellEnd"/>
      <w:r w:rsidRPr="00051546">
        <w:rPr>
          <w:shd w:val="clear" w:color="auto" w:fill="FFFFFF"/>
        </w:rPr>
        <w:t xml:space="preserve"> ADPFR </w:t>
      </w:r>
      <w:proofErr w:type="spellStart"/>
      <w:r w:rsidRPr="00051546">
        <w:rPr>
          <w:shd w:val="clear" w:color="auto" w:fill="FFFFFF"/>
        </w:rPr>
        <w:t>reprezentând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remuneraţie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compensatorie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pentru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copia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privată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pentru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operele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reproduse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după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înregistrări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sonore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pentru</w:t>
      </w:r>
      <w:proofErr w:type="spellEnd"/>
      <w:r w:rsidRPr="00051546">
        <w:rPr>
          <w:shd w:val="clear" w:color="auto" w:fill="FFFFFF"/>
        </w:rPr>
        <w:t xml:space="preserve"> </w:t>
      </w:r>
      <w:proofErr w:type="spellStart"/>
      <w:r w:rsidRPr="00051546">
        <w:rPr>
          <w:shd w:val="clear" w:color="auto" w:fill="FFFFFF"/>
        </w:rPr>
        <w:t>perioada</w:t>
      </w:r>
      <w:proofErr w:type="spellEnd"/>
      <w:r w:rsidRPr="00051546">
        <w:rPr>
          <w:shd w:val="clear" w:color="auto" w:fill="FFFFFF"/>
        </w:rPr>
        <w:t xml:space="preserve"> 2013-2014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  <w:bdr w:val="none" w:sz="0" w:space="0" w:color="auto" w:frame="1"/>
        </w:rPr>
      </w:pP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Având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vedere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dispoziţiile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art.</w:t>
      </w:r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133 </w:t>
      </w:r>
      <w:proofErr w:type="spellStart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alin</w:t>
      </w:r>
      <w:proofErr w:type="spellEnd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.</w:t>
      </w:r>
      <w:proofErr w:type="gramEnd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 xml:space="preserve"> (2)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art. </w:t>
      </w: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138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alin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.</w:t>
      </w:r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(1) </w:t>
      </w:r>
      <w:proofErr w:type="gramStart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lit</w:t>
      </w:r>
      <w:proofErr w:type="gramEnd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. a)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din</w:t>
      </w:r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Legea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 xml:space="preserve">nr. 8/1996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privind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conexe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modificările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completările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ulterioare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,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baza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prevederilor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art. </w:t>
      </w: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6 </w:t>
      </w:r>
      <w:proofErr w:type="spellStart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alin</w:t>
      </w:r>
      <w:proofErr w:type="spellEnd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.</w:t>
      </w:r>
      <w:proofErr w:type="gramEnd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 xml:space="preserve"> (1)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art. 7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 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Hotărârea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Guvernului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nr. 401/2006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privind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organizarea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funcţionarea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structura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personalului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dotările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necesare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îndeplinirii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atribuţiilor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modificările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ulterioare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,</w:t>
      </w:r>
    </w:p>
    <w:p w:rsidR="00C7155A" w:rsidRPr="00051546" w:rsidRDefault="00C7155A" w:rsidP="00C7155A">
      <w:pPr>
        <w:shd w:val="clear" w:color="auto" w:fill="FFFFFF"/>
        <w:spacing w:after="15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directorul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general al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emite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următoarea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decizie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: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1.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Se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publică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Monitorul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Oficial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României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Partea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I,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Protocolul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privind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criteriile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sumelor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cuvenite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reprezentând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compensatorie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copia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operele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reproduse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după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înregistrări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sonore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perioada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2013-2014,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prevăzut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anexa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care face parte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integrantă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prezenta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decizie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2.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Prezenta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decizie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publică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Monitorul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Oficial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României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Partea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I.</w:t>
      </w:r>
      <w:proofErr w:type="gramEnd"/>
    </w:p>
    <w:tbl>
      <w:tblPr>
        <w:tblW w:w="4995" w:type="dxa"/>
        <w:jc w:val="center"/>
        <w:tblCellMar>
          <w:left w:w="0" w:type="dxa"/>
          <w:right w:w="0" w:type="dxa"/>
        </w:tblCellMar>
        <w:tblLook w:val="04A0"/>
      </w:tblPr>
      <w:tblGrid>
        <w:gridCol w:w="6"/>
        <w:gridCol w:w="4989"/>
      </w:tblGrid>
      <w:tr w:rsidR="00C7155A" w:rsidRPr="00051546" w:rsidTr="009E5A36">
        <w:trPr>
          <w:trHeight w:val="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55A" w:rsidRPr="00051546" w:rsidRDefault="00C7155A" w:rsidP="009E5A36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55A" w:rsidRPr="00051546" w:rsidRDefault="00C7155A" w:rsidP="009E5A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155A" w:rsidRPr="00051546" w:rsidTr="009E5A36">
        <w:trPr>
          <w:trHeight w:val="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55A" w:rsidRPr="00051546" w:rsidRDefault="00C7155A" w:rsidP="009E5A36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C7155A" w:rsidRPr="00051546" w:rsidRDefault="00C7155A" w:rsidP="009E5A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155A" w:rsidRPr="00051546" w:rsidTr="009E5A3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7155A" w:rsidRPr="00051546" w:rsidRDefault="00C7155A" w:rsidP="009E5A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155A" w:rsidRPr="00051546" w:rsidRDefault="00C7155A" w:rsidP="009E5A3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Directorul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 xml:space="preserve"> general al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Oficiului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Român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pentru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Drepturile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Autor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>,</w:t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  <w:t xml:space="preserve">Adriana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Donţu</w:t>
            </w:r>
            <w:proofErr w:type="spellEnd"/>
          </w:p>
        </w:tc>
      </w:tr>
    </w:tbl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Bucureşti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10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octombrie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2013.</w:t>
      </w:r>
      <w:proofErr w:type="gramEnd"/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  <w:bdr w:val="none" w:sz="0" w:space="0" w:color="auto" w:frame="1"/>
        </w:rPr>
      </w:pP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Nr. 173.</w:t>
      </w:r>
      <w:proofErr w:type="gramEnd"/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  <w:bdr w:val="none" w:sz="0" w:space="0" w:color="auto" w:frame="1"/>
        </w:rPr>
      </w:pP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  <w:bdr w:val="none" w:sz="0" w:space="0" w:color="auto" w:frame="1"/>
        </w:rPr>
      </w:pP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  <w:bdr w:val="none" w:sz="0" w:space="0" w:color="auto" w:frame="1"/>
        </w:rPr>
      </w:pP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  <w:bdr w:val="none" w:sz="0" w:space="0" w:color="auto" w:frame="1"/>
        </w:rPr>
      </w:pP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  <w:bdr w:val="none" w:sz="0" w:space="0" w:color="auto" w:frame="1"/>
        </w:rPr>
      </w:pP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  <w:bdr w:val="none" w:sz="0" w:space="0" w:color="auto" w:frame="1"/>
        </w:rPr>
      </w:pP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  <w:bdr w:val="none" w:sz="0" w:space="0" w:color="auto" w:frame="1"/>
        </w:rPr>
      </w:pP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</w:p>
    <w:p w:rsidR="00C7155A" w:rsidRPr="00051546" w:rsidRDefault="00C7155A" w:rsidP="00C7155A">
      <w:pPr>
        <w:shd w:val="clear" w:color="auto" w:fill="FFFFFF"/>
        <w:spacing w:after="0" w:line="300" w:lineRule="atLeast"/>
        <w:jc w:val="right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lastRenderedPageBreak/>
        <w:t>ANEXĂ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center"/>
        <w:outlineLvl w:val="3"/>
        <w:rPr>
          <w:rFonts w:eastAsia="Times New Roman" w:cs="Arial"/>
          <w:b/>
          <w:bCs/>
          <w:sz w:val="24"/>
          <w:szCs w:val="24"/>
        </w:rPr>
      </w:pPr>
      <w:bookmarkStart w:id="0" w:name="_GoBack"/>
      <w:bookmarkEnd w:id="0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PROTOCOL </w:t>
      </w: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br/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privind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criteriile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repartizare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sumelor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cuvenite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ADPFR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reprezentând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remuneraţie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compensatorie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copia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privată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operele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reproduse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după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înregistrări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sonore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perioada</w:t>
      </w:r>
      <w:proofErr w:type="spellEnd"/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 xml:space="preserve"> 2013-2014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Subscrisele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: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Uniunea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Producătorilor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Fonograme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(UPFR),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sediul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Bucureşti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str.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Nicolae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Titulescu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nr. 88B,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sectorul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1,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având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RO 9670110, cont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bancar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RO66BRDE445SV20971204450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deschis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la BRD,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Sucursala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Dorobanţi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Bucureşti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reprezentată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legal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Mihaela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Alexandrina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Scriosteanu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calitate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director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executiv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,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proofErr w:type="gramEnd"/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Asociaţia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Producătorilor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Fonograme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(ADPFR),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sediul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Bucureşti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str.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Traian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nr. 2, bl. F1, sc. 4, ap. 15,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sectorul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3,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având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cod fiscal RO 18667695,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reprezentată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legal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domnul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Sorinel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Chelariu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calitate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preşedinte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/Daniela Oprisan,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calitate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administrator,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având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vedere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Protocolul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privind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Lista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suporturilor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aparatelor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care se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datorează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compensatorie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copia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operele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reproduse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după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înregistrări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sonore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sau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audiovizuale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precum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cuantumul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acestei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publicat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Monitorul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Oficial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nr. 316 din 13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mai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2009,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Decizia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directorului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general al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nr. 61/2009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,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având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vedere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faptul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Uniunea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Producătorilor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Fonograme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(UPFR)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fost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desemnată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Decizia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directorului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general al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nr. 86/2009,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unic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compensatorii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copia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operele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reproduse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după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înregistrări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sonore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sau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audiovizuale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,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având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vedere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dispoziţiile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art. </w:t>
      </w: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131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  <w:vertAlign w:val="superscript"/>
        </w:rPr>
        <w:t>2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alin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.</w:t>
      </w:r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(3) </w:t>
      </w:r>
      <w:proofErr w:type="gramStart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lit</w:t>
      </w:r>
      <w:proofErr w:type="gramEnd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. c)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art. </w:t>
      </w: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133 </w:t>
      </w:r>
      <w:proofErr w:type="spellStart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alin</w:t>
      </w:r>
      <w:proofErr w:type="spellEnd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.</w:t>
      </w:r>
      <w:proofErr w:type="gramEnd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 xml:space="preserve"> (2)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din</w:t>
      </w:r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Legea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 xml:space="preserve">nr. 8/1996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privind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conexe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modificările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completările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ulterioare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potrivit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cărora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părţile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pot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stabili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printr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-un protocol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criteriile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repartizării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organisme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modalitatea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evidenţiere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justificare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cheltuielilor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privind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acoperirea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reală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costurilor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organismului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gestiune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,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</w:t>
      </w:r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convenit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încheierea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prezentului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protocol,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după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cum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urmează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: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1.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compensatorie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copia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</w:t>
      </w:r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operelor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reproduse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după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înregistrări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sonore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cuvenită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producătorilor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fonograme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datorată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importatorii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suporturi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aparate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potrivit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dispoziţiilor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Legii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 xml:space="preserve">nr. </w:t>
      </w:r>
      <w:proofErr w:type="gramStart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8/1996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privind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conexe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modificările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completările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ulterioare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precum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baza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Deciziei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directorului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general al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hyperlink r:id="rId4" w:history="1">
        <w:r w:rsidRPr="00051546">
          <w:rPr>
            <w:rFonts w:eastAsia="Times New Roman" w:cs="Arial"/>
            <w:sz w:val="24"/>
            <w:szCs w:val="24"/>
            <w:u w:val="single"/>
            <w:bdr w:val="none" w:sz="0" w:space="0" w:color="auto" w:frame="1"/>
          </w:rPr>
          <w:t>nr.</w:t>
        </w:r>
        <w:proofErr w:type="gramEnd"/>
        <w:r w:rsidRPr="00051546">
          <w:rPr>
            <w:rFonts w:eastAsia="Times New Roman" w:cs="Arial"/>
            <w:sz w:val="24"/>
            <w:szCs w:val="24"/>
            <w:u w:val="single"/>
            <w:bdr w:val="none" w:sz="0" w:space="0" w:color="auto" w:frame="1"/>
          </w:rPr>
          <w:t xml:space="preserve"> 61/2009</w:t>
        </w:r>
      </w:hyperlink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publicarea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Monitorul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Oficial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Protocolului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privind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Lista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suporturilor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aparatelor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care se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datorează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compensatorie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copia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operele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reproduse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după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înregistrări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sonore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sau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audiovizuale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precum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cuantumul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acestei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este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Uniunea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Producătorilor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Fonograme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denumită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continuare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UPFR)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aceasta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condiţiile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art. </w:t>
      </w: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2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3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prezentul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protocol.</w:t>
      </w:r>
      <w:proofErr w:type="gramEnd"/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2.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lastRenderedPageBreak/>
        <w:t>Sumele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totale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cuvenite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producătorilor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fonograme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membri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determinate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UPFR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sumele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reprezentând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compensatorie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copia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UPFR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baza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Deciziei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directorului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general al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nr. </w:t>
      </w: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77/2009.</w:t>
      </w:r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Suma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totală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nediferenţiată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fiecare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membru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ADPFR)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UPFR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membrii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acestuia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ulterior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fiecărui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membru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ADPFR.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3.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Părţile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convin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sumele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totale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titlu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copie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operele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reproduse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după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înregistrări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sonore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fie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după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cum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urmează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: 94</w:t>
      </w:r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,8</w:t>
      </w:r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%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revin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UPFR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5,2%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revin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ADPFR.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4.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sumelor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cuvenite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baza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prezentului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protocol, ADPFR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garantează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UPFR ca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potrivit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propriilor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criterii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repartiţie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stabilite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Adunarea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generală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membrilor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sumele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primite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titlu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echitabilă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sursa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copie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audio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tuturor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membrilor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având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această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calitate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semnarea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Protocolului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. UPFR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este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absolvit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orice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pretenţie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partea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vreunui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membru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al ADPFR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perioada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valabilităţii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prezentului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protocol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atât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fonogramele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fac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parte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repertoriul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acestora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la data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semnării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Protocolului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cât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intra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sau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ieşi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viitor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repertoriul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acestora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perioada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valabilităţii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prezentului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protocol.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5.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(1)</w:t>
      </w:r>
      <w:r w:rsidRPr="00051546">
        <w:rPr>
          <w:rFonts w:eastAsia="Times New Roman" w:cs="Arial"/>
          <w:sz w:val="24"/>
          <w:szCs w:val="24"/>
        </w:rPr>
        <w:t> 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rezultate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urma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deducerii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costurilor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efectua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lunar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UPFR,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calitate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unic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organismul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beneficiar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până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cel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târziu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sfârşitul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lunii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următoare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celei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care se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realizează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repartiţia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(2)</w:t>
      </w:r>
      <w:r w:rsidRPr="00051546">
        <w:rPr>
          <w:rFonts w:eastAsia="Times New Roman" w:cs="Arial"/>
          <w:sz w:val="24"/>
          <w:szCs w:val="24"/>
        </w:rPr>
        <w:t> 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La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termenul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menţionat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anterior, UPFR,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calitate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organism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gestiune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înainta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format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scris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sau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electronic, un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raport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cuprinzând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sumele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brute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luna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precedentă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comisionul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reţinut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suma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netă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plată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penalităţile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(ca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exemplu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luna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august,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repartiţia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efectuată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până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sfârşitul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lunii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septembrie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raport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semnat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reprezentantul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legal al UPFR.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perioada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scursă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până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la data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semnării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Protocolului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se </w:t>
      </w: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efectua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până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cel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târziu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sfârşitul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lunii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următoare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semnării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prezentului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protocol.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6.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Înainte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UPFR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reţine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mod direct un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comision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repartizare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cuantum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2% din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remuneraţia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compensatorie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copia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privată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înregistrărilor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sonore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cuvine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producătorilor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fonograme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membri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ADPFR, conform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Protocolului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face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obiectul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Deciziei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directorului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general al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 xml:space="preserve">nr. </w:t>
      </w:r>
      <w:proofErr w:type="gramStart"/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77/2009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.</w:t>
      </w:r>
      <w:proofErr w:type="gramEnd"/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Întrucât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la data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semnării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Protocolului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ce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face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obiectul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Deciziei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directorului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general al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 </w:t>
      </w:r>
      <w:r w:rsidRPr="00051546">
        <w:rPr>
          <w:rFonts w:eastAsia="Times New Roman" w:cs="Arial"/>
          <w:sz w:val="24"/>
          <w:szCs w:val="24"/>
          <w:u w:val="single"/>
          <w:bdr w:val="none" w:sz="0" w:space="0" w:color="auto" w:frame="1"/>
        </w:rPr>
        <w:t>nr. 77/2009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 nu se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cunoştea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dimensiune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sumelor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ce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cazul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necesar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UPFR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convoca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organismul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beneficiar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decide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asupra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comisionului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real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7.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Organismele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gestiune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colectivă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întâlni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trimestrial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odată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întâlnirile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organizate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toate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organismele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beneficiare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la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convocarea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colectorului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unic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sau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organismului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beneficiar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lastRenderedPageBreak/>
        <w:t xml:space="preserve">ADPFR,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cadrul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cărora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discutate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evoluţia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încasărilor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potenţialul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dezvoltare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numărului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plătitori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situaţia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litigiilor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precum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propuneri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soluţii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eventuale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probleme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. ADPFR </w:t>
      </w: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va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comunica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lunar,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până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la data de 15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lunii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situaţia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membrilor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evita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dublarea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remunerării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simultane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titularilor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două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OGC-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uri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8.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excepţia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obligaţiilor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legale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furnizare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informaţiilor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utilizării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acestora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cadrul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procedurilor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judiciare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organismele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gestiune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colectivă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obligă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păstreze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confidenţialitatea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tuturor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informaţiilor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primite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/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obţinute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iar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divulgarea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acestora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terţi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atrage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răspunderea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juridică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organismului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culpabil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prejudiciile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cauzate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9.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asupra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bazelor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constituite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UPFR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sunt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proprietatea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acestuia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şi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sunt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protejate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potrivit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legii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acestea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neputând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comunicate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către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ADPFR,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utilizate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aceasta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sau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comunicate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terţilor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.</w:t>
      </w:r>
      <w:proofErr w:type="gramEnd"/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10.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Prezentul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protocol se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încheie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perioada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2013-2014.</w:t>
      </w:r>
      <w:proofErr w:type="gramEnd"/>
    </w:p>
    <w:p w:rsidR="00C7155A" w:rsidRPr="00051546" w:rsidRDefault="00C7155A" w:rsidP="00C7155A">
      <w:pPr>
        <w:shd w:val="clear" w:color="auto" w:fill="FFFFFF"/>
        <w:spacing w:after="0" w:line="300" w:lineRule="atLeast"/>
        <w:ind w:right="75"/>
        <w:jc w:val="both"/>
        <w:outlineLvl w:val="3"/>
        <w:rPr>
          <w:rFonts w:eastAsia="Times New Roman" w:cs="Arial"/>
          <w:b/>
          <w:bCs/>
          <w:sz w:val="24"/>
          <w:szCs w:val="24"/>
        </w:rPr>
      </w:pPr>
      <w:r w:rsidRPr="00051546">
        <w:rPr>
          <w:rFonts w:eastAsia="Times New Roman" w:cs="Arial"/>
          <w:b/>
          <w:bCs/>
          <w:sz w:val="24"/>
          <w:szCs w:val="24"/>
          <w:bdr w:val="none" w:sz="0" w:space="0" w:color="auto" w:frame="1"/>
        </w:rPr>
        <w:t>Art. 11. -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Orice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modificare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prezentului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protocol </w:t>
      </w:r>
      <w:proofErr w:type="spellStart"/>
      <w:proofErr w:type="gram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este</w:t>
      </w:r>
      <w:proofErr w:type="spellEnd"/>
      <w:proofErr w:type="gram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posibilă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acte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adiţionale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încheiate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între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părţi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respectarea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dispoziţiilor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legale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vigoare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C7155A" w:rsidRPr="00051546" w:rsidRDefault="00C7155A" w:rsidP="00C7155A">
      <w:pPr>
        <w:shd w:val="clear" w:color="auto" w:fill="FFFFFF"/>
        <w:spacing w:after="0" w:line="300" w:lineRule="atLeast"/>
        <w:jc w:val="both"/>
        <w:rPr>
          <w:rFonts w:eastAsia="Times New Roman" w:cs="Arial"/>
          <w:sz w:val="24"/>
          <w:szCs w:val="24"/>
        </w:rPr>
      </w:pP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Prezentul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protocol s-a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încheiat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astăzi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21 august 2013,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în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3 (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trei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exemplare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originale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forţă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probantă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egală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fiecare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parte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semnatară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primind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câte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un exemplar,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iar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unul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urmează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fi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depus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Oficiul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Român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pentru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Drepturile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Autor</w:t>
      </w:r>
      <w:proofErr w:type="spellEnd"/>
      <w:r w:rsidRPr="00051546"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tbl>
      <w:tblPr>
        <w:tblW w:w="7485" w:type="dxa"/>
        <w:jc w:val="center"/>
        <w:tblCellMar>
          <w:left w:w="0" w:type="dxa"/>
          <w:right w:w="0" w:type="dxa"/>
        </w:tblCellMar>
        <w:tblLook w:val="04A0"/>
      </w:tblPr>
      <w:tblGrid>
        <w:gridCol w:w="6"/>
        <w:gridCol w:w="3338"/>
        <w:gridCol w:w="4141"/>
      </w:tblGrid>
      <w:tr w:rsidR="00C7155A" w:rsidRPr="00051546" w:rsidTr="009E5A36">
        <w:trPr>
          <w:trHeight w:val="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55A" w:rsidRPr="00051546" w:rsidRDefault="00C7155A" w:rsidP="009E5A36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55A" w:rsidRPr="00051546" w:rsidRDefault="00C7155A" w:rsidP="009E5A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55A" w:rsidRPr="00051546" w:rsidRDefault="00C7155A" w:rsidP="009E5A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155A" w:rsidRPr="00051546" w:rsidTr="009E5A36">
        <w:trPr>
          <w:trHeight w:val="24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7155A" w:rsidRPr="00051546" w:rsidRDefault="00C7155A" w:rsidP="009E5A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155A" w:rsidRPr="00051546" w:rsidRDefault="00C7155A" w:rsidP="009E5A3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51546">
              <w:rPr>
                <w:rFonts w:eastAsia="Times New Roman" w:cs="Times New Roman"/>
                <w:sz w:val="24"/>
                <w:szCs w:val="24"/>
              </w:rPr>
              <w:t>UNIUNEA PRODUCĂTORILOR DE FONOGRAME DIN ROMÂNIA</w:t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Preşedinte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>,</w:t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  <w:t>Dan-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Cristian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Muraru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  <w:t xml:space="preserve">Director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executiv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>,</w:t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Mihaela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 xml:space="preserve">-Alexandrina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Scriosteanu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Avocat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>,</w:t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Andreea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Stratula</w:t>
            </w:r>
            <w:proofErr w:type="spellEnd"/>
          </w:p>
        </w:tc>
        <w:tc>
          <w:tcPr>
            <w:tcW w:w="0" w:type="auto"/>
            <w:hideMark/>
          </w:tcPr>
          <w:p w:rsidR="00C7155A" w:rsidRPr="00051546" w:rsidRDefault="00C7155A" w:rsidP="009E5A3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51546">
              <w:rPr>
                <w:rFonts w:eastAsia="Times New Roman" w:cs="Times New Roman"/>
                <w:sz w:val="24"/>
                <w:szCs w:val="24"/>
              </w:rPr>
              <w:t>ASOCIAŢIA PENTRU DREPTURILE PRODUCĂTORILOR DE FONOGRAME DIN ROMÂNIA</w:t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Preşedinte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>,</w:t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Sorinel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Chelariu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  <w:t>Administrator,</w:t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  <w:t>Daniela Cristina Oprisan</w:t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Avocat</w:t>
            </w:r>
            <w:proofErr w:type="spellEnd"/>
            <w:r w:rsidRPr="00051546">
              <w:rPr>
                <w:rFonts w:eastAsia="Times New Roman" w:cs="Times New Roman"/>
                <w:sz w:val="24"/>
                <w:szCs w:val="24"/>
              </w:rPr>
              <w:t>,</w:t>
            </w:r>
            <w:r w:rsidRPr="00051546">
              <w:rPr>
                <w:rFonts w:eastAsia="Times New Roman" w:cs="Times New Roman"/>
                <w:sz w:val="24"/>
                <w:szCs w:val="24"/>
              </w:rPr>
              <w:br/>
              <w:t xml:space="preserve">George </w:t>
            </w:r>
            <w:proofErr w:type="spellStart"/>
            <w:r w:rsidRPr="00051546">
              <w:rPr>
                <w:rFonts w:eastAsia="Times New Roman" w:cs="Times New Roman"/>
                <w:sz w:val="24"/>
                <w:szCs w:val="24"/>
              </w:rPr>
              <w:t>Dimofte</w:t>
            </w:r>
            <w:proofErr w:type="spellEnd"/>
          </w:p>
        </w:tc>
      </w:tr>
    </w:tbl>
    <w:p w:rsidR="00C7155A" w:rsidRPr="00051546" w:rsidRDefault="00C7155A" w:rsidP="00C7155A"/>
    <w:p w:rsidR="00651402" w:rsidRDefault="00C7155A"/>
    <w:sectPr w:rsidR="00651402" w:rsidSect="00DA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55A"/>
    <w:rsid w:val="004F0BA9"/>
    <w:rsid w:val="00582F1E"/>
    <w:rsid w:val="006E079A"/>
    <w:rsid w:val="00712B67"/>
    <w:rsid w:val="008F7E3A"/>
    <w:rsid w:val="00A74E3A"/>
    <w:rsid w:val="00BE10E0"/>
    <w:rsid w:val="00C7155A"/>
    <w:rsid w:val="00CA07DD"/>
    <w:rsid w:val="00E1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5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ge5.ro/Gratuit/gezdgmjzhe/decizia-nr-61-2009-pentru-publicarea-in-monitorul-oficial-al-romaniei-partea-i-a-protocolului-privind-lista-suporturilor-si-aparatelor-pentru-care-se-datoreaza-remuneratia-compensatorie-pentru-copia-p?d=2009-04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1446</Words>
  <Characters>8246</Characters>
  <Application>Microsoft Office Word</Application>
  <DocSecurity>0</DocSecurity>
  <Lines>68</Lines>
  <Paragraphs>19</Paragraphs>
  <ScaleCrop>false</ScaleCrop>
  <Company/>
  <LinksUpToDate>false</LinksUpToDate>
  <CharactersWithSpaces>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</dc:creator>
  <cp:lastModifiedBy>Cami</cp:lastModifiedBy>
  <cp:revision>1</cp:revision>
  <dcterms:created xsi:type="dcterms:W3CDTF">2018-09-06T07:46:00Z</dcterms:created>
  <dcterms:modified xsi:type="dcterms:W3CDTF">2018-09-06T07:47:00Z</dcterms:modified>
</cp:coreProperties>
</file>