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C46830">
      <w:pPr>
        <w:pStyle w:val="Style11"/>
        <w:widowControl/>
        <w:spacing w:before="60" w:line="422" w:lineRule="auto"/>
        <w:ind w:left="720" w:firstLine="850"/>
        <w:jc w:val="right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relaţiilor legice, cauzale dintre ele.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792224" cy="1792224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aget,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Piaget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>Gardner consideră că poziţia lui teoretică nu contrazice poziţia lui Piaget,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Guilford,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 sau cunoaştere.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Guilford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GrilTabel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Nr. crt</w:t>
            </w:r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B06EF4" w:rsidRDefault="00B06EF4" w:rsidP="0055743E">
      <w:pPr>
        <w:pStyle w:val="Subsol"/>
      </w:pPr>
    </w:p>
    <w:p w:rsidR="00B06EF4" w:rsidRPr="00E62B46" w:rsidRDefault="00B06EF4" w:rsidP="0055743E">
      <w:pPr>
        <w:pStyle w:val="Subsol"/>
        <w:rPr>
          <w:rFonts w:ascii="Arial" w:hAnsi="Arial" w:cs="Arial"/>
          <w:lang w:val="en-US"/>
        </w:rPr>
      </w:pPr>
    </w:p>
    <w:sectPr w:rsidR="00B06EF4" w:rsidRPr="00E62B46" w:rsidSect="007D2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02E" w:rsidRDefault="000F202E" w:rsidP="00421842">
      <w:pPr>
        <w:pStyle w:val="Style9"/>
      </w:pPr>
      <w:r>
        <w:separator/>
      </w:r>
    </w:p>
  </w:endnote>
  <w:endnote w:type="continuationSeparator" w:id="1">
    <w:p w:rsidR="000F202E" w:rsidRDefault="000F202E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Subsol"/>
      <w:rPr>
        <w:rFonts w:ascii="Arial" w:hAnsi="Arial" w:cs="Arial"/>
        <w:sz w:val="20"/>
        <w:szCs w:val="20"/>
        <w:lang w:val="en-GB"/>
      </w:rPr>
    </w:pPr>
    <w:r w:rsidRPr="0055743E">
      <w:rPr>
        <w:rFonts w:ascii="Arial" w:hAnsi="Arial" w:cs="Arial"/>
        <w:sz w:val="20"/>
        <w:szCs w:val="20"/>
        <w:lang w:val="en-GB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02E" w:rsidRDefault="000F202E" w:rsidP="00421842">
      <w:pPr>
        <w:pStyle w:val="Style9"/>
      </w:pPr>
      <w:r>
        <w:separator/>
      </w:r>
    </w:p>
  </w:footnote>
  <w:footnote w:type="continuationSeparator" w:id="1">
    <w:p w:rsidR="000F202E" w:rsidRDefault="000F202E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Antet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Titlu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Titlu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EE3"/>
    <w:rsid w:val="00045DD6"/>
    <w:rsid w:val="00055F4D"/>
    <w:rsid w:val="000B4360"/>
    <w:rsid w:val="000B6F39"/>
    <w:rsid w:val="000F202E"/>
    <w:rsid w:val="00125F89"/>
    <w:rsid w:val="00126AED"/>
    <w:rsid w:val="00143945"/>
    <w:rsid w:val="00162E88"/>
    <w:rsid w:val="00166529"/>
    <w:rsid w:val="001B64A0"/>
    <w:rsid w:val="001C3D13"/>
    <w:rsid w:val="001D4324"/>
    <w:rsid w:val="001D5A4A"/>
    <w:rsid w:val="00240EE3"/>
    <w:rsid w:val="00254FDA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E1A5F"/>
    <w:rsid w:val="00421842"/>
    <w:rsid w:val="00424D9A"/>
    <w:rsid w:val="004529A6"/>
    <w:rsid w:val="00464936"/>
    <w:rsid w:val="004E7E93"/>
    <w:rsid w:val="00510E0F"/>
    <w:rsid w:val="0051330C"/>
    <w:rsid w:val="00514D30"/>
    <w:rsid w:val="0055743E"/>
    <w:rsid w:val="00574415"/>
    <w:rsid w:val="005E6D0F"/>
    <w:rsid w:val="006467D3"/>
    <w:rsid w:val="00666325"/>
    <w:rsid w:val="00685984"/>
    <w:rsid w:val="00692EE4"/>
    <w:rsid w:val="006D2398"/>
    <w:rsid w:val="006E688B"/>
    <w:rsid w:val="007023DE"/>
    <w:rsid w:val="00716730"/>
    <w:rsid w:val="007D2CE4"/>
    <w:rsid w:val="00832EB0"/>
    <w:rsid w:val="008674C7"/>
    <w:rsid w:val="008801CD"/>
    <w:rsid w:val="00957DF1"/>
    <w:rsid w:val="00960996"/>
    <w:rsid w:val="009647CE"/>
    <w:rsid w:val="009837E9"/>
    <w:rsid w:val="009E49C4"/>
    <w:rsid w:val="00A9701C"/>
    <w:rsid w:val="00AD1C3B"/>
    <w:rsid w:val="00B06EF4"/>
    <w:rsid w:val="00B07CE8"/>
    <w:rsid w:val="00B44E5F"/>
    <w:rsid w:val="00B9093D"/>
    <w:rsid w:val="00B951E2"/>
    <w:rsid w:val="00C4092F"/>
    <w:rsid w:val="00C46830"/>
    <w:rsid w:val="00C6655F"/>
    <w:rsid w:val="00CA498F"/>
    <w:rsid w:val="00D237F4"/>
    <w:rsid w:val="00D27617"/>
    <w:rsid w:val="00D51A8B"/>
    <w:rsid w:val="00D90DCD"/>
    <w:rsid w:val="00D9527B"/>
    <w:rsid w:val="00E62B46"/>
    <w:rsid w:val="00E64762"/>
    <w:rsid w:val="00E9794F"/>
    <w:rsid w:val="00F658B0"/>
    <w:rsid w:val="00FA1C48"/>
    <w:rsid w:val="00FA48C7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Titlu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u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lu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Titlu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Fontdeparagrafimplici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Fontdeparagrafimplici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Fontdeparagrafimplici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Fontdeparagrafimplici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Fontdeparagrafimplici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Fontdeparagrafimplici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Fontdeparagrafimplici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Fontdeparagrafimplici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Fontdeparagrafimplici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GrilTabel">
    <w:name w:val="Table Grid"/>
    <w:basedOn w:val="Tabel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TextnBalon">
    <w:name w:val="Balloon Text"/>
    <w:basedOn w:val="Normal"/>
    <w:link w:val="TextnBalonCaracter"/>
    <w:rsid w:val="00B9093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Ministerul Educaţiei, Cercetării şi Inovării</vt:lpstr>
      <vt:lpstr>Ministerul Educaţiei, Cercetării şi Inovării</vt:lpstr>
    </vt:vector>
  </TitlesOfParts>
  <Company>CNCEIP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Elev</cp:lastModifiedBy>
  <cp:revision>2</cp:revision>
  <dcterms:created xsi:type="dcterms:W3CDTF">2010-04-07T07:41:00Z</dcterms:created>
  <dcterms:modified xsi:type="dcterms:W3CDTF">2018-02-12T11:31:00Z</dcterms:modified>
</cp:coreProperties>
</file>